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C2" w:rsidRDefault="00CB6DC2" w:rsidP="00CB6DC2">
      <w:pPr>
        <w:pStyle w:val="2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Практикум</w:t>
      </w:r>
    </w:p>
    <w:p w:rsidR="00CB6DC2" w:rsidRDefault="00CB6DC2" w:rsidP="00CB6DC2">
      <w:pPr>
        <w:pStyle w:val="a3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Практическая работа – небольшой научный отчет, обобщающий проведенную студентом работу, которую представляют для защиты преподавателю. К практическим работам предъявляется ряд требований, основным из которых является полное, исчерпывающее описание всей проделанной работы, позволяющее судить о полученных результатах, степени выполнения заданий и профессиональной подготовке студентов.</w:t>
      </w:r>
    </w:p>
    <w:p w:rsidR="00CB6DC2" w:rsidRDefault="00CB6DC2" w:rsidP="00CB6DC2">
      <w:pPr>
        <w:pStyle w:val="a3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Целью практических работ является закрепление следующих умений и навыков, полученных в результате освоения дисциплины «Основы философии»:</w:t>
      </w:r>
    </w:p>
    <w:p w:rsidR="00CB6DC2" w:rsidRDefault="00CB6DC2" w:rsidP="00CB6DC2">
      <w:pPr>
        <w:pStyle w:val="a3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У 1: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CB6DC2" w:rsidRDefault="00CB6DC2" w:rsidP="00CB6DC2">
      <w:pPr>
        <w:pStyle w:val="a3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З 1: основные категории и понятия философии;</w:t>
      </w:r>
    </w:p>
    <w:p w:rsidR="00CB6DC2" w:rsidRDefault="00CB6DC2" w:rsidP="00CB6DC2">
      <w:pPr>
        <w:pStyle w:val="a3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З 2: роль философии в жизни человека и общества;</w:t>
      </w:r>
    </w:p>
    <w:p w:rsidR="00CB6DC2" w:rsidRDefault="00CB6DC2" w:rsidP="00CB6DC2">
      <w:pPr>
        <w:pStyle w:val="a3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З3: основы философского учения о бытии;</w:t>
      </w:r>
    </w:p>
    <w:p w:rsidR="00CB6DC2" w:rsidRDefault="00CB6DC2" w:rsidP="00CB6DC2">
      <w:pPr>
        <w:pStyle w:val="a3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З4: сущность процесса познания;</w:t>
      </w:r>
    </w:p>
    <w:p w:rsidR="00CB6DC2" w:rsidRDefault="00CB6DC2" w:rsidP="00CB6DC2">
      <w:pPr>
        <w:pStyle w:val="a3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З5: основы научной, философской и религиозной картины мира;</w:t>
      </w:r>
    </w:p>
    <w:p w:rsidR="00CB6DC2" w:rsidRDefault="00CB6DC2" w:rsidP="00CB6DC2">
      <w:pPr>
        <w:pStyle w:val="a3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З6: условия формирования личности;</w:t>
      </w:r>
    </w:p>
    <w:p w:rsidR="00CB6DC2" w:rsidRDefault="00CB6DC2" w:rsidP="00CB6DC2">
      <w:pPr>
        <w:pStyle w:val="a3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З7: социальные и этические проблемы, связанные с развитием и использованием достижений науки, техники и технологий.</w:t>
      </w:r>
    </w:p>
    <w:p w:rsidR="00CB6DC2" w:rsidRDefault="00CB6DC2" w:rsidP="00CB6DC2">
      <w:pPr>
        <w:pStyle w:val="a3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Практическая работа по предмету «Основы философии» представляет собой анализ философского текста.</w:t>
      </w:r>
    </w:p>
    <w:p w:rsidR="00CB6DC2" w:rsidRDefault="00CB6DC2" w:rsidP="00CB6DC2">
      <w:pPr>
        <w:pStyle w:val="a3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По всем вопросам, связанным с изучением дисциплины (включая самостоятельную работу), студент может консультироваться с преподавателем в соответствии с установленным графиком текущих консультаций.</w:t>
      </w:r>
    </w:p>
    <w:p w:rsidR="00CB6DC2" w:rsidRDefault="00CB6DC2" w:rsidP="00CB6DC2">
      <w:pPr>
        <w:pStyle w:val="a3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Перед выполнением практических работ следует повторить материал соответствующей лекции и изучить теоретическую часть методических указаний к данной практической работе, на основании чего получить допуск к ее выполнению. Во время практических работ следует выполнять учебные задания с максимальной степенью активности. Выполнение практических работ заканчивается составлением отчета с выводами, характеризующими полученный результат и защита работы перед преподавателем.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Зашита отчета по практической работе заключается в предъявлении преподавателю полученных результатов в виде файлов и </w:t>
      </w:r>
      <w:proofErr w:type="gramStart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напечатанного отчета</w:t>
      </w:r>
      <w:proofErr w:type="gramEnd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демонстрации полученных навыков в ответах на вопросы преподавателя. При сдаче отчета преподаватель может сделать устные и письменные замечания, задать дополнительные вопросы, попросить выполнить отдельные задания, часть работы или всю работу целиком.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Практическая работа считается полностью выполненной после ее защиты.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После приема преподавателем отчет хранится на соответствующей ПЦК и студенту не выдается.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Отчет по практической работе должен быть оформлен на основании МР и состоять из следующих структурных элементов:</w:t>
      </w:r>
    </w:p>
    <w:p w:rsidR="00CB6DC2" w:rsidRPr="00CB6DC2" w:rsidRDefault="00CB6DC2" w:rsidP="00CB6DC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титульный лист;</w:t>
      </w:r>
    </w:p>
    <w:p w:rsidR="00CB6DC2" w:rsidRPr="00CB6DC2" w:rsidRDefault="00CB6DC2" w:rsidP="00CB6DC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цель работы;</w:t>
      </w:r>
    </w:p>
    <w:p w:rsidR="00CB6DC2" w:rsidRPr="00CB6DC2" w:rsidRDefault="00CB6DC2" w:rsidP="00CB6DC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описание задачи</w:t>
      </w:r>
    </w:p>
    <w:p w:rsidR="00CB6DC2" w:rsidRPr="00CB6DC2" w:rsidRDefault="00CB6DC2" w:rsidP="00CB6DC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Теоретическая часть.</w:t>
      </w:r>
    </w:p>
    <w:p w:rsidR="00CB6DC2" w:rsidRPr="00CB6DC2" w:rsidRDefault="00CB6DC2" w:rsidP="00CB6DC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Практическая часть.</w:t>
      </w:r>
    </w:p>
    <w:p w:rsidR="00CB6DC2" w:rsidRPr="00CB6DC2" w:rsidRDefault="00CB6DC2" w:rsidP="00CB6DC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анализ результатов работы;</w:t>
      </w:r>
    </w:p>
    <w:p w:rsidR="00CB6DC2" w:rsidRPr="00CB6DC2" w:rsidRDefault="00CB6DC2" w:rsidP="00CB6DC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выводы.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Объем отчета должен быть оптимальным для понимания того, что и как сделал студент, выполняя работу. Обязательные требования к отчету включают общую и специальную грамотность изложения, а также аккуратность оформления.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Титульный лист</w:t>
      </w: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является первой страницей любой научной работы и для конкретного вида работы заполняется по определенным правилам. Для практической работы титульный лист оформляется следующим образом.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верхнем поле листа указывают полное наименование учебного заведения, в котором выполнялась данная работа.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среднем поле указывается вид работы, в данном случае практическая работа выполняется с указанием дисциплины, по которой она выполнена. Название практической работы приводится без слова </w:t>
      </w:r>
      <w:r w:rsidRPr="00CB6DC2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тема</w:t>
      </w: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и в кавычки не заключается.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Далее ближе к правому краю титульного листа указывают фамилию, инициалы, курс и группу учащегося, выполнившего работу, а также фамилию, инициалы, ученую степень и должность преподавателя, принявшего работу.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нижнем поле листа указывается место выполнения работы и год ее написания (без слова </w:t>
      </w:r>
      <w:r w:rsidRPr="00CB6DC2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год</w:t>
      </w: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Цель работы показывает, для чего выполняется работа, например, для получения или закрепления каких навыков, изучения чего-либо и т. п.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Теоретическая часть содержит описание предметной области, а также изложение теоретического материала.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Практическая часть включает ход выполнения работы, перечень полученных результатов, сопровождающихся необходимыми комментариями и промежуточными выводами.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 основе обобщения выполненных работ, представленных в практической части, в выводах кратко излагаются результаты работы.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Выводы по работе каждый студент делает самостоятельно.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Выводы не должны быть простым перечислением того, что сделано. Здесь важно отметить, к чему привело обсуждение результатов, насколько выполнена заявленная цель работы, что нового узнал студент при выполнении работы. В выводах также отмечаются все недоработки, по какой-либо причине имеющие место, предложения и рекомендации по дальнейшему исследованию поставленной в работе проблемы.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Библиографический список содержит ссылки на книги, периодические издания, интернет-страницы, использованные при выполнении работы и оформлении отчёта. В основном тексте отчёта ссылки на пункты библиографического списка приводятся в следующем виде: [4, стр.52], где 4 – номер пункта, стр.52 – дополнительное уточнение местоположения в тексте.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приложение вносятся распечатки текстов.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Практическая работа по теме «Предмет философии»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Задание:</w:t>
      </w:r>
    </w:p>
    <w:p w:rsidR="00CB6DC2" w:rsidRPr="00CB6DC2" w:rsidRDefault="00CB6DC2" w:rsidP="00CB6DC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Из различных справочников и словарей выпишите определения философских понятий: философия, философская проблема, бытие, универсум.</w:t>
      </w:r>
    </w:p>
    <w:p w:rsidR="00CB6DC2" w:rsidRPr="00CB6DC2" w:rsidRDefault="00CB6DC2" w:rsidP="00CB6DC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Прочитайте фрагмент из работы Х. </w:t>
      </w:r>
      <w:proofErr w:type="spellStart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Ортега</w:t>
      </w:r>
      <w:proofErr w:type="spellEnd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-и-</w:t>
      </w:r>
      <w:proofErr w:type="spellStart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Гассета</w:t>
      </w:r>
      <w:proofErr w:type="spellEnd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«Что такое философия?» и ответьте на вопросы: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1) Какое определение дает философии Х. </w:t>
      </w:r>
      <w:proofErr w:type="spellStart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Ортега</w:t>
      </w:r>
      <w:proofErr w:type="spellEnd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-и-</w:t>
      </w:r>
      <w:proofErr w:type="spellStart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Гассет</w:t>
      </w:r>
      <w:proofErr w:type="spellEnd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?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2) Каким важнейшим признаком наделяет автор любую философскую проблему и что он под этим подразумевает?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3) Каким образом специфика проблем, стоящих перед философией, делает ее «основной потребностью нашего разума»?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4) Как рассматривает философия свой предмет? Какова конечная цель философского размышления?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Первым приходит на ум определение философии как познания Универсума &lt;…&gt;. Формально я понимаю под Универсумом «все имеющееся». То есть философа интересует не каждая вещь сама по себе, в своем обособленном и, так сказать, отдельном существовании, – напротив, его интересует совокупность всего существующего и, следовательно, в каждой вещи – то, что ее отделяет от других вещей или объединяет с ними: ее место, роль и разряд среди множества вещей, так сказать, публичная жизнь каждой вещи, то, что она собой представляет и чего стоит в высшей публичности универсального существования &lt;…&gt;.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Когда мы спрашиваем, что такое «все имеющееся», у нас нет ни малейшего представления о том, чем окажется это имеющееся. О философии нам заранее известно одно: что имеется и то, и другое, и третье, и что это как раз то, чего мы не ищем. Мы ищем «целое», а то, что перед нами, всегда не целое. Об этом последнем нам ничего не известно, и может быть, среди всех этих фрагментов, </w:t>
      </w: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которые у нас уже есть, нет наиболее для нас важных, важнейшего из всего, что имеется... …все существующее и находящееся здесь, данное нам, присутствующее, явное – это, в сущности, только кусок, осколок, фрагмент, обрубок. Глядя на него, нельзя не заметить, не почувствовать его изъяна. В любом данном нам бытии, в любом явлении мира мы обнаруживаем глубокий след излома, свидетельство того, что это часть и только часть, мы видим рубец его онтологического [здесь: </w:t>
      </w:r>
      <w:proofErr w:type="spellStart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бытийственного</w:t>
      </w:r>
      <w:proofErr w:type="spellEnd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– Авт.] увечья, к нам вопиют страдания калеки, его тоска по отнятому, его божественная неудовлетворенность &lt;…&gt;.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Весь этот зал в целом присутствует в нашем восприятии. Он кажется – по крайней мере нам – чем-то законченным и достаточным. Он состоит из того, что мы в нем видим, и ни из чего более… </w:t>
      </w:r>
      <w:proofErr w:type="gramStart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Но</w:t>
      </w:r>
      <w:proofErr w:type="gramEnd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если затем мы, покидая этот зал, обнаружим, что за его дверями мир кончается, что дальше за этим залом нет ничего, даже пустого пространства, наш потрясенный разум испытает шок… Вероятно, в нашем восприятии рядом с явным присутствием видимого нами интерьера скрыто присутствовал общий фон, исчезновение которого мы не можем не заметить. Иными словами, этот зал даже в непосредственном восприятии не был чем-то законченным, а был лишь первым планом, выступающим на общем фоне, который мы имели в виду, который в виде скрытого дополнения уже существовал для нас, обрамляя то, что мы на самом деле видели. Этот общий окружающий фон сейчас не присутствует, а соприсутствует. И в самом деле, всякий раз, когда мы видим нечто, это нечто появляется на скрытом, темном, огромном фоне смутных очертаний, и это есть просто мир, фрагментом, осколком которого он является…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То же происходит с реальностью внутри нас, с нашей психикой. В каждый момент мы видим лишь ничтожную часть нашего внутреннего бытия: возникающие у нас в этот миг мысли, испытываемые нами страдания, бледный образ, рисуемый нашим воображением, чувство, во власти которого мы теперь находимся, – лишь эту жалкую горстку вещей встречает наш взгляд, обращенный внутрь; вместо себя мы видим лишь плечо, заслоняющее наше полное настоящее </w:t>
      </w:r>
      <w:proofErr w:type="gramStart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Я</w:t>
      </w:r>
      <w:proofErr w:type="gramEnd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которое скрыто от глаз, подобно лежащей внизу долине или горе, заслоненной другими горами…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Таким предстает перед нами мир: он не самодостаточен, не служит основанием для собственного бытия, а кричит о том, что ему не достает, провозглашает свое не-бытие, вынуждает нас философствовать; ведь философствовать – значит искать целостность мира, превращать его в Универсум, придавая ему завершенность и создавая из части целое, в котором он мог бы спокойно разместиться.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CB6DC2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Ортега</w:t>
      </w:r>
      <w:proofErr w:type="spellEnd"/>
      <w:r w:rsidRPr="00CB6DC2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-и-</w:t>
      </w:r>
      <w:proofErr w:type="spellStart"/>
      <w:r w:rsidRPr="00CB6DC2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Гассет</w:t>
      </w:r>
      <w:proofErr w:type="spellEnd"/>
      <w:r w:rsidRPr="00CB6DC2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 xml:space="preserve"> Х. Что такое философия? – М., 1991. – С. 77, 86 – 87, 97 – 99.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Практическая работа по теме «Античная философия»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Задание:</w:t>
      </w:r>
    </w:p>
    <w:p w:rsidR="00CB6DC2" w:rsidRPr="00CB6DC2" w:rsidRDefault="00CB6DC2" w:rsidP="00CB6DC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Из различных справочников и словарей выпишите определения философских понятий: </w:t>
      </w:r>
      <w:proofErr w:type="spellStart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эйдос</w:t>
      </w:r>
      <w:proofErr w:type="spellEnd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вещь, бытие, идеализм.</w:t>
      </w:r>
    </w:p>
    <w:p w:rsidR="00CB6DC2" w:rsidRPr="00CB6DC2" w:rsidRDefault="00CB6DC2" w:rsidP="00CB6DC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Ответьте на вопрос: в чем суть платоновской концепции </w:t>
      </w:r>
      <w:proofErr w:type="spellStart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эйдосов</w:t>
      </w:r>
      <w:proofErr w:type="spellEnd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вещей?</w:t>
      </w:r>
    </w:p>
    <w:p w:rsidR="00CB6DC2" w:rsidRPr="00CB6DC2" w:rsidRDefault="00CB6DC2" w:rsidP="00CB6DC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Прочитайте фрагмент из диалога «Государство» и ответьте на вопросы: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1) Что представляет собой мир, в котором мы живем, по Платону?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2) Как называет Платон людей и почему?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3) Что говорится в приведенном ниже отрывке об идеях? Какова природа идей: материальная или духовная?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4) Почему «узники пещеры» принимают за истину тени проносимых мимо предметов? Что, по вашему мнению, хотел сказать этим Платон?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5) Каким путем мы можем получать знание об идеях?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6) Что в нижеприведенном отрывке олицетворяет солнце?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7) О чем, на ваш взгляд, свидетельствует то обстоятельство, что Платон избрал для изложения своих философских взглядов форму мифа? Можно ли назвать рассказ о пещере мифом в точном смысле слова. Аргументируйте положительный или отрицательный ответ.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8) Сравните теорию идей Платона с представлениями о первоначале предшествующих философов.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… люди как бы находятся в подземном жилище наподобие пещеры, где во всю ее длину тянется широкий просвет. С малых лет у них там на ногах и на шее оковы, так что людям не двинуться с места, и видят они только то, что у них прямо перед глазами, ибо повернуть голову они не могут из-за этих оков. Люди обращены спиной к свету, исходящему от огня, который горит далеко в вышине, а между огнем и узниками проходит верхняя дорога, огражденная – глянь-ка – невысокой стеной вроде той ширмы, за которой фокусники помещают своих помощников, когда поверх ширмы показывают кукол.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– Это я себе представляю.</w:t>
      </w:r>
    </w:p>
    <w:p w:rsidR="00CB6DC2" w:rsidRPr="00CB6DC2" w:rsidRDefault="00CB6DC2" w:rsidP="00CB6DC2">
      <w:pPr>
        <w:pStyle w:val="a3"/>
        <w:jc w:val="both"/>
        <w:rPr>
          <w:rFonts w:ascii="Helvetica" w:hAnsi="Helvetica" w:cs="Helvetica"/>
          <w:color w:val="000000"/>
        </w:rPr>
      </w:pPr>
      <w:r w:rsidRPr="00CB6DC2">
        <w:rPr>
          <w:rFonts w:ascii="Helvetica" w:hAnsi="Helvetica" w:cs="Helvetica"/>
          <w:color w:val="000000"/>
        </w:rPr>
        <w:t>– Так представь же себе и то, что за этой стеной другие люди несут различную утварь, держа ее так, что она видна поверх стены; проносят они и статуи, и всяческие изображения живых существ, сделанные из камня и дерева. При этом, как водится, одни из несущих разговаривают, другие молчат &lt;…&gt;. Когда с кого-нибудь из них снимут оковы, заставят его вдруг встать, повернуть шею, пройтись, взглянуть вверх – в сторону света, ему будет мучительно выполнять все это, он не в силах будет смотреть при ярком сиянии на те вещи, тень от которых он видел раньше. И как ты думаешь, что он скажет, когда ему начнут говорить, что раньше он видел пустяки, а теперь, приблизившись к бытию и обратившись к более подлинному, он мог бы обрести правильный взгляд? Да еще если станут указывать на ту или иную мелькающую перед ним вещь и задавать вопрос, что это такое, и вдобавок заставят его отвечать! Не считаешь ли ты, что это крайне его затруднит и он подумает, будто гораздо больше правды в том, что он видел раньше, ч ем в том, что ему показывают теперь? – Конечно, он так подумает. – А если заставить его смотреть прямо на самый свет, разве не заболят у него глаза, и не вернется он бегом к тому, что он в силах видеть, считая, что это действительно достовернее тех вещей, которые ему показывают? – Да, это так &lt;…&gt;.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– Так вот, … это уподобление следует применить ко всему, что было сказано ранее: область, охватываемая зрением, подобна тюремному жилищу, а свет от огня уподобляется в ней мощи Солнца. Восхождение и созерцание вещей, находящихся в вышине, – это подъем души в область умопостигаемого (Государство, 514 – 517 b).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Платон. Государство // Собр. соч.: В 4 т. – М., 1994. – Т. 3. – С. 295 – 298.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Практическая работа по теме «Неклассическая философия»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Задание:</w:t>
      </w:r>
    </w:p>
    <w:p w:rsidR="00CB6DC2" w:rsidRPr="00CB6DC2" w:rsidRDefault="00CB6DC2" w:rsidP="00CB6DC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Дайте определение понятий: классическая философия, неклассическая философия. Назовите представителей неклассической философии.</w:t>
      </w:r>
    </w:p>
    <w:p w:rsidR="00CB6DC2" w:rsidRPr="00CB6DC2" w:rsidRDefault="00CB6DC2" w:rsidP="00CB6DC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Прочитайте фрагмент из работы Ф. Ницше «Веселая наука» и ответьте на вопросы: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1) Что, по вашему мнению, означает метафора «смерти Бога»? Кто, с точки зрения Ф. Ницше, виновен в «смерти Бога» и почему?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2) Почему герой Ф. Ницше считает, что он «пришел слишком рано» со своим известием о «смерти Бога»?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3) Какие последствия для человека и для философии будет иметь «смерть Бога»?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4) Что требуется от человека, по мнению Ф. Ницше, после «смерти Бога»?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Слышали ли вы о том безумном человеке, который в светлый полдень зажег фонарь, выбежал на рынок и все время кричал: «Я ищу Бога! Я ищу Бога!» – Поскольку там собрались как раз многие из тех, кто не верил в Бога, вокруг него раздался хохот. Он что, </w:t>
      </w:r>
      <w:proofErr w:type="gramStart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пропал?–</w:t>
      </w:r>
      <w:proofErr w:type="gramEnd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сказал один. Он заблудился, как ребенок, сказал другой. Или спрятался? Боится ли он нас? Пустился ли он в плаванье? Эмигрировал? – так кричали и смеялись они вперемешку. Тогда безумец вбежал в толпу и пронзил их своим взглядом. «Где </w:t>
      </w:r>
      <w:proofErr w:type="gramStart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Бог?–</w:t>
      </w:r>
      <w:proofErr w:type="gramEnd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воскликнул он. – Я хочу сказать вам это! Мы его убили – вы и я! Мы все его убийцы! Не должны ли мы сами обратиться в богов, чтобы оказаться достойными его? Никогда не было совершено дела более великого, и кто родился после нас, будет, благодаря этому деянию, принадлежать истории высшей, чем вся прежняя история!» – Здесь замолчал безумный человек и снова стал глядеть на своих слушателей; молчали они, удивленно глядя на него. Наконец, он бросил свой фонарь на землю, так что тот разбился вдребезги и погас.</w:t>
      </w:r>
    </w:p>
    <w:p w:rsidR="00CB6DC2" w:rsidRPr="00CB6DC2" w:rsidRDefault="00CB6DC2" w:rsidP="00CB6DC2">
      <w:pPr>
        <w:pStyle w:val="a3"/>
        <w:jc w:val="both"/>
        <w:rPr>
          <w:rFonts w:ascii="Helvetica" w:hAnsi="Helvetica" w:cs="Helvetica"/>
          <w:color w:val="000000"/>
        </w:rPr>
      </w:pPr>
      <w:proofErr w:type="gramStart"/>
      <w:r w:rsidRPr="00CB6DC2">
        <w:rPr>
          <w:rFonts w:ascii="Helvetica" w:hAnsi="Helvetica" w:cs="Helvetica"/>
          <w:color w:val="000000"/>
        </w:rPr>
        <w:t>«Я пришел слишком рано</w:t>
      </w:r>
      <w:proofErr w:type="gramEnd"/>
      <w:r w:rsidRPr="00CB6DC2">
        <w:rPr>
          <w:rFonts w:ascii="Helvetica" w:hAnsi="Helvetica" w:cs="Helvetica"/>
          <w:color w:val="000000"/>
        </w:rPr>
        <w:t>, – сказал он тогда, – мой час еще не пробил. Это чудовищное событие еще в пути и идет к нам – весть о нем не дошла еще до человеческих ушей. Молнии и грому нужно время, свету звезд нужно время, деяниям нужно время, после того как они уже совершены, чтобы их увидели и услышали. Это деяние пока еще дальше от вас, чем самые отдаленные светила, – и все-таки вы совершили его!». – Рассказывают еще, что в тот же день безумный человек ходил по различным церквям и пел в них свой </w:t>
      </w:r>
      <w:proofErr w:type="spellStart"/>
      <w:r w:rsidRPr="00CB6DC2">
        <w:rPr>
          <w:rFonts w:ascii="Helvetica" w:hAnsi="Helvetica" w:cs="Helvetica"/>
          <w:color w:val="000000"/>
        </w:rPr>
        <w:t>Requiem</w:t>
      </w:r>
      <w:proofErr w:type="spellEnd"/>
      <w:r w:rsidRPr="00CB6DC2">
        <w:rPr>
          <w:rFonts w:ascii="Helvetica" w:hAnsi="Helvetica" w:cs="Helvetica"/>
          <w:color w:val="000000"/>
        </w:rPr>
        <w:t xml:space="preserve"> </w:t>
      </w:r>
      <w:proofErr w:type="spellStart"/>
      <w:r w:rsidRPr="00CB6DC2">
        <w:rPr>
          <w:rFonts w:ascii="Helvetica" w:hAnsi="Helvetica" w:cs="Helvetica"/>
          <w:color w:val="000000"/>
        </w:rPr>
        <w:t>aeteram</w:t>
      </w:r>
      <w:proofErr w:type="spellEnd"/>
      <w:r w:rsidRPr="00CB6DC2">
        <w:rPr>
          <w:rFonts w:ascii="Helvetica" w:hAnsi="Helvetica" w:cs="Helvetica"/>
          <w:color w:val="000000"/>
        </w:rPr>
        <w:t xml:space="preserve"> </w:t>
      </w:r>
      <w:proofErr w:type="spellStart"/>
      <w:r w:rsidRPr="00CB6DC2">
        <w:rPr>
          <w:rFonts w:ascii="Helvetica" w:hAnsi="Helvetica" w:cs="Helvetica"/>
          <w:color w:val="000000"/>
        </w:rPr>
        <w:t>deo</w:t>
      </w:r>
      <w:proofErr w:type="spellEnd"/>
      <w:r w:rsidRPr="00CB6DC2">
        <w:rPr>
          <w:rFonts w:ascii="Helvetica" w:hAnsi="Helvetica" w:cs="Helvetica"/>
          <w:color w:val="000000"/>
        </w:rPr>
        <w:t>. Его выгоняли и призывали к ответу, а он ладил все одно и то же: «Чем же еще являются эти церкви, если не могилами и надгробиями Бога?» &lt;…&gt;.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…После того как Будда умер, в течение столетий показывали еще его тень в одной пещере – чудовищную страшную тень. Бог мертв; но такова природа людей, что еще тысячелетиями, возможно, будут существовать пещеры, в которых показывают его тень. – И мы – мы должны победить еще и его тень!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Ницше Ф. Веселая наука. // Соч.: В 2 т. – М., 1990. – Т. 1. – С. 592 – 593, 681.</w:t>
      </w:r>
    </w:p>
    <w:p w:rsidR="00CB6DC2" w:rsidRPr="00CB6DC2" w:rsidRDefault="00CB6DC2" w:rsidP="00CB6DC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Прочитайте фрагмент из работы Ф. Ницше «К генеалогии морали» и ответьте на вопросы: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1) </w:t>
      </w:r>
      <w:proofErr w:type="gramStart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</w:t>
      </w:r>
      <w:proofErr w:type="gramEnd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чем суть «переоценки всех ценностей» у Ф. Ницше? Почему до сих пор люди принимали за данность господствовавшие в западной культуре ценности? Каким образом «смерть Бога» может повлиять на «переоценку всех ценностей»?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2) Какими были исходные человеческие ценности? Как происходит трансформация этих ценностей? Вытекает ли, на ваш взгляд, необходимость «переоценки всех ценностей» из предлагаемой Ф. Ницше генеалогии морали?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3) Какими «переоцененными» ценностями предлагает руководствоваться Ф. Ницше? Согласны ли вы с его ценностными ориентирами?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…нам необходима критика моральных ценностей, сама ценность этих ценностей должна быть однажды поставлена под вопрос, – а для этого необходимо знание условий и обстоятельств, из которых они произросли, среди которых они развивались и </w:t>
      </w:r>
      <w:proofErr w:type="gramStart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изменялись..</w:t>
      </w:r>
      <w:proofErr w:type="gramEnd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– знание, которое отсутствовало до сих пор и в котором не было нужды. Ценность этих «ценностей» принимали за данность, за факт, за нечто проблематичное и неприкосновенное, до сих пор ни капельки не сомневались и не колебались в том, чтобы оценить «доброго» по более высоким ставкам, чем «злого», более высоким в смысле всего содействующего, полезного, плодотворного с точки зрения человека вообще (включая и будущее человека) &lt;…&gt;.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Ориентиром, выводящим на правильный путь, стал мне вопрос, что, собственно, означают в этимологическом отношении обозначения «хорошего» в различных языках: я обнаружил тут, что все они отсылают к одинаковому преобразованию понятия – что «знатный», «благородный» в сословном смысле всюду выступают основным понятием, из которого необходимым образом развивается «хороший» в смысле «душевно знатного», «благородного», «душевно породистого», «душевно привилегированного»: развитие, всегда идущее параллельно с тем другим, где «пошлое», «плебейское», «низменное» в конце концов переходит в понятие «плохого»… Относительно генеалогии морали это кажется мне существенным усмотрением; его столь позднее открытие объясняется тормозящим влиянием, которое демократический рассудок оказывает в современном мире на все вопросы, касающиеся происхождения &lt;…&gt;.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Все, что было содеяно на земле против «знатных», «могущественных», «господ», не идет ни в малейшее сравнение с тем, что содеяли против них евреи; евреи, этот жреческий народ, умевший в конце концов брать реванш над своими врагами и победителями лишь путем радикальной переоценки их ценностей, стало быть, путем акта духовной мести [эту месть Ф. Ницше назвал </w:t>
      </w:r>
      <w:proofErr w:type="spellStart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по-фр</w:t>
      </w:r>
      <w:proofErr w:type="spellEnd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</w:t>
      </w:r>
      <w:proofErr w:type="spellStart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Ressentiment</w:t>
      </w:r>
      <w:proofErr w:type="spellEnd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– Авт.]. Так единственно и подобало жреческому народу, народу наиболее вытесненной жреческой мнительности. Именно евреи рискнули с ужасающей </w:t>
      </w: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последовательностью вывернуть аристократическое уравнение ценности (хороший = знатный = могущественный = прекрасный = счастливый = </w:t>
      </w:r>
      <w:proofErr w:type="spellStart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боговозлюбленный</w:t>
      </w:r>
      <w:proofErr w:type="spellEnd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 – и вцепились в это зубами бездонной ненависти (ненависти бессилия), именно «только одни отверженные являются хорошими; только бедные, бессильные, 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незнатные являются хорошими; только страждущие, терпящие лишения, больные, уродливые суть единственно благочестивые, единственно набожные, им только и принадлежит блаженство, – вы же, знатные и могущественные, вы, на веки вечные злые, жестокие, похотливые, ненасытные, безбожные, и вы до скончания времени будете злосчастными, проклятыми и осужденными!»…– именно, что с евреев начинается восстание рабов в морали, – восстание, имеющее за собой двухтысячелетнюю историю и ускользающее нынче от взора лишь потому, что оно – было победоносным…&lt;…&gt; Что хорошо?– Все, что повышает в человеке чувство власти, самую власть. Что </w:t>
      </w:r>
      <w:proofErr w:type="gramStart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дурно?–</w:t>
      </w:r>
      <w:proofErr w:type="gramEnd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Все, что происходит от слабости.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Что есть счастье? – Чувство растущей власти, чувство преодолеваемого противодействия. Не удовлетворенность, но стремление к власти, не мир вообще, но война, не добродетель, но полнота способностей (добродетель в стиле Ренессанс, </w:t>
      </w:r>
      <w:proofErr w:type="spellStart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virtu</w:t>
      </w:r>
      <w:proofErr w:type="spellEnd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[совокупность физических, моральных качеств, необходимых свободному человеку, воину, гражданину, отцу семейства. – Авт.], добродетель, свободная от </w:t>
      </w:r>
      <w:proofErr w:type="spellStart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моралина</w:t>
      </w:r>
      <w:proofErr w:type="spellEnd"/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). Слабые и неудачники должны погибнуть: первое положение нашей любви к человеку. И им должно еще помочь в этом. Что вреднее всякого порока? – Деятельное сострадание ко всем неудачникам и слабым – христианство.</w:t>
      </w:r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B6DC2" w:rsidRPr="00CB6DC2" w:rsidRDefault="00CB6DC2" w:rsidP="00CB6DC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FE4EE5" w:rsidRDefault="00FE4EE5"/>
    <w:sectPr w:rsidR="00FE4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5E3A"/>
    <w:multiLevelType w:val="multilevel"/>
    <w:tmpl w:val="41C0D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1741F"/>
    <w:multiLevelType w:val="multilevel"/>
    <w:tmpl w:val="509CF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02DD5"/>
    <w:multiLevelType w:val="multilevel"/>
    <w:tmpl w:val="DBF0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55213"/>
    <w:multiLevelType w:val="multilevel"/>
    <w:tmpl w:val="E4E0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8D3ABD"/>
    <w:multiLevelType w:val="multilevel"/>
    <w:tmpl w:val="67605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4227D8"/>
    <w:multiLevelType w:val="multilevel"/>
    <w:tmpl w:val="63FE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0F02C8"/>
    <w:multiLevelType w:val="multilevel"/>
    <w:tmpl w:val="E7728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577188"/>
    <w:multiLevelType w:val="multilevel"/>
    <w:tmpl w:val="689A7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B65C31"/>
    <w:multiLevelType w:val="multilevel"/>
    <w:tmpl w:val="F8D0C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EC09E5"/>
    <w:multiLevelType w:val="multilevel"/>
    <w:tmpl w:val="87764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EF09CE"/>
    <w:multiLevelType w:val="multilevel"/>
    <w:tmpl w:val="C0BEB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4"/>
  </w:num>
  <w:num w:numId="8">
    <w:abstractNumId w:val="10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42"/>
    <w:rsid w:val="0002288F"/>
    <w:rsid w:val="000E0742"/>
    <w:rsid w:val="00B26423"/>
    <w:rsid w:val="00CB6DC2"/>
    <w:rsid w:val="00FE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18C64-96D6-466B-AAC5-656DC0DB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64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64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2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2914</Words>
  <Characters>16612</Characters>
  <Application>Microsoft Office Word</Application>
  <DocSecurity>0</DocSecurity>
  <Lines>138</Lines>
  <Paragraphs>38</Paragraphs>
  <ScaleCrop>false</ScaleCrop>
  <Company/>
  <LinksUpToDate>false</LinksUpToDate>
  <CharactersWithSpaces>19488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2019-05-23T06:34:00Z</dcterms:created>
  <dcterms:modified xsi:type="dcterms:W3CDTF">2019-05-23T07:47:00Z</dcterms:modified>
</cp:coreProperties>
</file>