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8E" w:rsidRPr="001C138E" w:rsidRDefault="001C138E" w:rsidP="001C138E">
      <w:pPr>
        <w:keepNext/>
        <w:tabs>
          <w:tab w:val="left" w:pos="510"/>
        </w:tabs>
        <w:suppressAutoHyphens/>
        <w:overflowPunct w:val="0"/>
        <w:autoSpaceDE w:val="0"/>
        <w:autoSpaceDN w:val="0"/>
        <w:adjustRightInd w:val="0"/>
        <w:spacing w:before="240" w:after="120" w:line="336" w:lineRule="auto"/>
        <w:ind w:left="510" w:hanging="51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c201816281"/>
      <w:r w:rsidRPr="001C13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Организация и методы исследования</w:t>
      </w:r>
      <w:bookmarkEnd w:id="0"/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исследования проводились на базе </w:t>
      </w:r>
      <w:r w:rsidR="00594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«Курсы подготовки к родам «Сказка ожидания»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исследовании принимали участие 30 беременных женщин, из которых 15 женщин - без патологии беременности и 15 женщин -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невынашиваемости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беременности. Общая характеристика беременных женщин представлена в таблице 1.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исследуемых беременных женщин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710"/>
        <w:gridCol w:w="992"/>
        <w:gridCol w:w="1559"/>
        <w:gridCol w:w="3969"/>
        <w:gridCol w:w="2410"/>
      </w:tblGrid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беременностей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предыдущей беременности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существование угрозы </w:t>
            </w:r>
            <w:proofErr w:type="spellStart"/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невынашивания</w:t>
            </w:r>
            <w:proofErr w:type="spellEnd"/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беременности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невынашивание</w:t>
            </w:r>
            <w:proofErr w:type="spellEnd"/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невынашивание</w:t>
            </w:r>
            <w:proofErr w:type="spellEnd"/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выкидыш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выкидыш, остальные 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невынашивание</w:t>
            </w:r>
            <w:proofErr w:type="spellEnd"/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удачные</w:t>
            </w: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138E" w:rsidRPr="001C138E" w:rsidTr="001C138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C138E" w:rsidRPr="001C138E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Pragmatica" w:eastAsia="Times New Roman" w:hAnsi="Pragmatica" w:cs="Times New Roman"/>
          <w:sz w:val="26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15 женщин, подверженных угрозе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11 имеют возраст более 27 лет и только 4 в достаточно молодом возрасте - до 25 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лет. Причем у 5 женщин уже были первые неудачные роды, а у одной после первого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дважды достаточно удачные роды.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предусматривало определение уровня тревожности по методике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Ч.Спилбергера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самочувствия по методике САН, определение состояния депрессии.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проходило  в целом в группе, затем проводилось сравнение эмоционально-личностных особенностей беременных женщин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благополучным течением беременности.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64516846"/>
      <w:bookmarkStart w:id="2" w:name="_Toc464516847"/>
      <w:bookmarkStart w:id="3" w:name="_Toc457027521"/>
    </w:p>
    <w:p w:rsidR="001C138E" w:rsidRPr="001C138E" w:rsidRDefault="001C138E" w:rsidP="001C138E">
      <w:pPr>
        <w:keepNext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1. Исследование уровня тревожности по методике </w:t>
      </w:r>
      <w:proofErr w:type="spellStart"/>
      <w:r w:rsidRPr="001C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Ч.Спилбергера</w:t>
      </w:r>
      <w:bookmarkEnd w:id="2"/>
      <w:bookmarkEnd w:id="3"/>
      <w:proofErr w:type="spellEnd"/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уровня тревожности в данный момен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тивная тревожность) и уровня тревожности как устойчивой характе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ристики (личностная тревожность).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 самооценки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Ч.Спилбергера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надежным и информатив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тестом самооценки уровня тревожности в данный момен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тивная тревожность, как состояние) и личностной тревожности (как устойчивая характеристика человека).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самооценки состоит из 2-х частей, раздельно оценивающих реактивную (РТ) и личностную (ЛТ) тревож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исследования: 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предъявляется испытуемым на бланках, он состоит из двух шкал, по 20 утверждений в каждой, раздельно оценивающих реактив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и личностную тревожность. Опросный материал  представлен в Приложении 1. Ключ к методике представлен в Приложении 1.  Результаты исследования представлены в таблице 2.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C138E" w:rsidRPr="001C138E" w:rsidRDefault="001C138E" w:rsidP="001C138E">
      <w:pPr>
        <w:keepNext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2. Оперативная оценка самочувствия по методике САН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опросника САН является оперативная оценка самочув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ствия, активности, настроения.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 к обработке результатов представлен в Приложении 2. Результаты исследования представлены в таблице 3.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3. Исследование депрессивного состояния по методике  "Шкала депрессии"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Опросник Т.И.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Балашовой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"Шкала депрессии"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дифференциальной диагностики депрессивных состояний и состояний, близких к депрессии, для скрининг-диагностики при массовых иссле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дованиях и в целях предварительной, доврачебной диагностики.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Испытуемым предлагаются вопросы на бланках. Ключ к методике также представлен в приложении 3. Результаты исследования представлены в таблице 4.</w:t>
      </w:r>
    </w:p>
    <w:p w:rsidR="001C138E" w:rsidRPr="001C138E" w:rsidRDefault="001C138E" w:rsidP="001C138E">
      <w:pPr>
        <w:keepNext/>
        <w:tabs>
          <w:tab w:val="left" w:pos="510"/>
        </w:tabs>
        <w:suppressAutoHyphens/>
        <w:overflowPunct w:val="0"/>
        <w:autoSpaceDE w:val="0"/>
        <w:autoSpaceDN w:val="0"/>
        <w:adjustRightInd w:val="0"/>
        <w:spacing w:before="240" w:after="120" w:line="336" w:lineRule="auto"/>
        <w:ind w:left="510" w:hanging="51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Toc201816282"/>
      <w:r w:rsidRPr="001C13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2.2. Анализ результатов исследования</w:t>
      </w:r>
      <w:bookmarkEnd w:id="4"/>
    </w:p>
    <w:p w:rsidR="001C138E" w:rsidRPr="001C138E" w:rsidRDefault="001C138E" w:rsidP="001C138E">
      <w:pPr>
        <w:keepNext/>
        <w:overflowPunct w:val="0"/>
        <w:autoSpaceDE w:val="0"/>
        <w:autoSpaceDN w:val="0"/>
        <w:adjustRightInd w:val="0"/>
        <w:spacing w:after="0" w:line="336" w:lineRule="auto"/>
        <w:ind w:firstLine="567"/>
        <w:jc w:val="right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исследования по методике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Спилбергера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21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B7" w:firstRow="1" w:lastRow="0" w:firstColumn="1" w:lastColumn="0" w:noHBand="0" w:noVBand="0"/>
      </w:tblPr>
      <w:tblGrid>
        <w:gridCol w:w="567"/>
        <w:gridCol w:w="2694"/>
        <w:gridCol w:w="2693"/>
        <w:gridCol w:w="709"/>
        <w:gridCol w:w="1418"/>
        <w:gridCol w:w="1134"/>
      </w:tblGrid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8648" w:type="dxa"/>
            <w:gridSpan w:val="5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самооценки               (</w:t>
            </w:r>
            <w:proofErr w:type="spellStart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ЛТ</w:t>
            </w:r>
          </w:p>
        </w:tc>
        <w:tc>
          <w:tcPr>
            <w:tcW w:w="2127" w:type="dxa"/>
            <w:gridSpan w:val="2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уровень тревожности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существование угрозы </w:t>
            </w:r>
            <w:proofErr w:type="spellStart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невынашивания</w:t>
            </w:r>
            <w:proofErr w:type="spellEnd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беременности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умеренная тревожность.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умеренная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высокая тревожность.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высокая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умеренная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умерен.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умеренная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высокая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высокая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умеренная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высокая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высокая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умеренная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 высокая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высокая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высокая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умеренная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умеренная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высокая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умеренная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высокая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умеренная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умерен.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низкая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низкая тревожность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умеренная тревожность</w:t>
            </w:r>
          </w:p>
        </w:tc>
        <w:tc>
          <w:tcPr>
            <w:tcW w:w="2693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умеренная</w:t>
            </w:r>
          </w:p>
        </w:tc>
        <w:tc>
          <w:tcPr>
            <w:tcW w:w="709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40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результатов исследования, у 9 человек - №№ 6,10, 12,14, 17,18,19,21,24  наблюдается высокая тревожность.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тревожность - у 6 человек  - №№2,5,11,16,20,29. Они, как сами отмечали, стараются не поддаваться страху перед предстоящими родами, ведут себя уверенно, верят в успешный результат.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У 3 человек - №№4,7,9 повышенная личностная тревожно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сть, при умеренном уровне реактивной тревожности, а у №№ 1,8,27 - умеренная личностная тревожность при низком уровне реактивной тревожности, скорее всего, в момент опроса они чувствовали себя достаточно спокойно, в то время как постоянное состояние у них довольно неустойчиво.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У 3 человек - (13,22,26),  наоборот личный уровень тревожности умеренный, но реакти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вная тревожность завышена, как и у №25,28 умеренная реактивная тревожность и низкая личностная тревожность - при опросе они испытывали волне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ние, неуверенность в себе. Кроме того, 4 женщины -  (3,15,23,30) показали умеренный уровень тревожности по обеим шкалам, 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хотя их состояние очень близко к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депрессивному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это проявляется у 3 и 15.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данные исследования, можно отметить, что у большин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женщин - 18 женщин - наблюдается тенденция к повышенном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 уровню тревожности, 11 человек находятся в сос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тоянии фрустрации. Тем не менее, не все эти женщины имеют диагноз -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невынашивание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беременности. Например, женщины  12, 18, 23 не имеют патологии при беременности, однако очень нервничают по различным  причинам. Остальные женщины чувствуют себя неплохо, особой тревожности не проявляют. Общий результат по данной методике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 1.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DA92AB2" wp14:editId="7DD7BA1D">
            <wp:extent cx="5495925" cy="292417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Pragmatica" w:eastAsia="Times New Roman" w:hAnsi="Pragmatica" w:cs="Times New Roman"/>
          <w:sz w:val="28"/>
          <w:szCs w:val="28"/>
          <w:lang w:eastAsia="ru-RU"/>
        </w:rPr>
      </w:pPr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 xml:space="preserve">Как видно из диаграммы 1, у 50% беременных женщин наблюдается повышенный уровень тревожности, у 50%  пониженный и низкий уровень тревожности. Причем, из 18 </w:t>
      </w:r>
      <w:proofErr w:type="gramStart"/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>женщин, показавших высокий уровень тревожности у 83% наблюдается</w:t>
      </w:r>
      <w:proofErr w:type="gramEnd"/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 xml:space="preserve"> угроза </w:t>
      </w:r>
      <w:proofErr w:type="spellStart"/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 xml:space="preserve"> беременности, остальные 17% - без патологии беременности.</w:t>
      </w:r>
      <w:bookmarkStart w:id="5" w:name="_Toc464516848"/>
      <w:bookmarkStart w:id="6" w:name="_Toc457027522"/>
    </w:p>
    <w:bookmarkEnd w:id="5"/>
    <w:bookmarkEnd w:id="6"/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исследования по методике САН </w:t>
      </w:r>
    </w:p>
    <w:tbl>
      <w:tblPr>
        <w:tblW w:w="7878" w:type="dxa"/>
        <w:tblInd w:w="8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5"/>
        <w:gridCol w:w="1842"/>
        <w:gridCol w:w="1801"/>
        <w:gridCol w:w="1602"/>
        <w:gridCol w:w="1418"/>
      </w:tblGrid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40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определяет состояние настроения, самочув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ствия и активности в момент опроса.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по результатам опроса, из 30 женщин активность, настроение в норме и выше наблюдается у 9 женщин - №№1, 5,8,11,16, 20,25,27,29. Однако у них пониженные баллы самочувствия, следовательно, у этих женщин на проведения лечения возникают моменты ухудшения самочувствия, однако они стараются не придавать значения этим симптомам, активно лечатся, верят в благоприятный исход, доверяют врачам.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женщин, показавшим по предыдущим исследованиям   отрицательные результаты, и в данном исследовании налицо низкий уровень активности, самочувствия и настроения - №№ 3,4,6,7,9, 10,12,13,14,15,17,18,19,21,22,23,24,26,28,30 - 20 человек. </w:t>
      </w:r>
      <w:proofErr w:type="gramEnd"/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Женщины - №№7,9,12,13,18,22,26 - 7 человек преувеличивают негативное болезненное состояние, они чувствуют себя неплохо.</w:t>
      </w:r>
    </w:p>
    <w:p w:rsidR="001C138E" w:rsidRPr="001C138E" w:rsidRDefault="001C138E" w:rsidP="001C138E">
      <w:pPr>
        <w:keepNext/>
        <w:tabs>
          <w:tab w:val="left" w:pos="510"/>
        </w:tabs>
        <w:suppressAutoHyphens/>
        <w:overflowPunct w:val="0"/>
        <w:autoSpaceDE w:val="0"/>
        <w:autoSpaceDN w:val="0"/>
        <w:adjustRightInd w:val="0"/>
        <w:spacing w:before="240" w:after="120" w:line="336" w:lineRule="auto"/>
        <w:ind w:left="510" w:hanging="51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80BE75D" wp14:editId="5BB7CC26">
            <wp:extent cx="5486400" cy="306705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как видно из диаграммы 2, из общего количества обследуемых беременных женщин 30% показали низкие показатели по уровню активности, самочувствию и настроению. У 30% беременных, наоборот, уровень активности, настроения и самочувствия на высоком уровне.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Pragmatica" w:eastAsia="Times New Roman" w:hAnsi="Pragmatica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9 человек, показавших низкие результаты 65% женщин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</w:t>
      </w:r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>нашивания</w:t>
      </w:r>
      <w:proofErr w:type="spellEnd"/>
      <w:r w:rsidRPr="001C138E">
        <w:rPr>
          <w:rFonts w:ascii="Pragmatica" w:eastAsia="Times New Roman" w:hAnsi="Pragmatica" w:cs="Times New Roman"/>
          <w:sz w:val="28"/>
          <w:szCs w:val="28"/>
          <w:lang w:eastAsia="ru-RU"/>
        </w:rPr>
        <w:t xml:space="preserve"> беременности и 35% - без какой-либо патологии беременности.</w:t>
      </w:r>
      <w:bookmarkStart w:id="7" w:name="_Toc457027524"/>
    </w:p>
    <w:bookmarkEnd w:id="7"/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4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 исследования по шкале депрессии </w:t>
      </w:r>
    </w:p>
    <w:tbl>
      <w:tblPr>
        <w:tblW w:w="0" w:type="auto"/>
        <w:tblInd w:w="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B7" w:firstRow="1" w:lastRow="0" w:firstColumn="1" w:lastColumn="0" w:noHBand="0" w:noVBand="0"/>
      </w:tblPr>
      <w:tblGrid>
        <w:gridCol w:w="1871"/>
        <w:gridCol w:w="6067"/>
      </w:tblGrid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          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высокая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высокая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легкая депрессия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высокая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высокая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легкая депрессия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высокая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легкая депрессия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легкая депрессия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легкая депрессия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легкая депрессия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легкая депрессия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легкая депрессия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без депрессии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без депрессии </w:t>
            </w:r>
          </w:p>
        </w:tc>
      </w:tr>
      <w:tr w:rsidR="001C138E" w:rsidRPr="005949E8" w:rsidTr="001C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67" w:type="dxa"/>
          </w:tcPr>
          <w:p w:rsidR="001C138E" w:rsidRPr="005949E8" w:rsidRDefault="001C138E" w:rsidP="001C1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без депрессии</w:t>
            </w:r>
          </w:p>
        </w:tc>
      </w:tr>
    </w:tbl>
    <w:p w:rsidR="001C138E" w:rsidRPr="005949E8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исследования в исследуемой группе беременных женщин у 17 человек не наблюдается депрессии, у 8 женщин - легкая депрессия и у 5 наблюдается высокий уровень депрессии. Результаты данной методики подтверждают исследования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 же женщины показали низкие и высокие баллы.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представлены на диаграмме 3.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Pragmatica" w:eastAsia="Times New Roman" w:hAnsi="Pragmatica" w:cs="Times New Roman"/>
          <w:noProof/>
          <w:sz w:val="24"/>
          <w:szCs w:val="20"/>
          <w:lang w:eastAsia="ru-RU"/>
        </w:rPr>
        <w:drawing>
          <wp:inline distT="0" distB="0" distL="0" distR="0" wp14:anchorId="351FC731" wp14:editId="1F29602B">
            <wp:extent cx="5495925" cy="30099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видно из диаграммы 3, из 30 исследуемых женщин у 17% наблюдается высокий уровень депрессии, причем только двое - без патологии беременности.</w:t>
      </w:r>
      <w:bookmarkStart w:id="8" w:name="_Toc457027525"/>
    </w:p>
    <w:bookmarkEnd w:id="1"/>
    <w:bookmarkEnd w:id="8"/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из группы беременных женщин 12 женщин показали  положительное отношение к своей беременности, переносят ее неплохо, рады будущему ребенку. Все эти женщины без угрозы вынашивания беременности. Свое лечение они считают необходимым, доверяют врачам, положительно воспринимают их рекомендации или активно отбрасывают мысли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«неудобствах», созданных беременностью.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них 18 человек (60%), наоборот, проявляют  негативные эмоции, выражающиеся в тревоге, депрессии, неврозах, пессимизме. Из этих 18 женщин 15 -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беременности. У троих из 15 человек (17%) беременность протекает без осложнений, однако по своему характеру они достаточно мнительны, поэтому и представлены такие  результаты.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результат негативных личностно-эмоциональных особенностей определялся в зависимости от уровня тревожности, активности, настроения, самочувствия, как средний показатель.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исследования построена диаграмма 4.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Pragmatica" w:eastAsia="Times New Roman" w:hAnsi="Pragmatica" w:cs="Times New Roman"/>
          <w:noProof/>
          <w:sz w:val="24"/>
          <w:szCs w:val="20"/>
          <w:lang w:eastAsia="ru-RU"/>
        </w:rPr>
        <w:drawing>
          <wp:inline distT="0" distB="0" distL="0" distR="0" wp14:anchorId="115B2266" wp14:editId="70434F2F">
            <wp:extent cx="5495925" cy="26860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Итак, по результатам проведенного исследования, в исследуемой группе  женщин  выявлено, что большинство женщин (60% - высокий уровень и 13,3% средний уровень негативных эмоционально-личностных особенностей) находятся в состоянии тревоги и нервозности. У 26,7% женщин не выявлено негативных эмоций и личностных нарушений, они активны, жизнерадостны, стремятся к позитивному результату при лечении, верят в успех.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15 женщин с патологией беременности только у одной выявлен средний уровень негативных эмоциональных переживаний, у остальных – высокий. У женщин без патологии из 15 человек низкий уровень негативных эмоций – у 7 человек, средний – у 5 человек, высокий – у 3 человек.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по результатам проведенного исследования, в исследуемой группе беременных женщин выявлено, что большинство женщин (15 женщин) находятся в состоянии тревоги и нервозности. Женщины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- 3,4,6,7,9,10,12,14,15,18,19,21,24,26,28 наиболее тяжело воспринимают свою патологию и находятся в тревожном, невротическом состоянии. Однако не у всех существует угроза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у №12, №18  нет угрозы, тем не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чувствуют и ведут себя достаточно нервно.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У 7 беременных -  2, 5, 8,11,16,20, 25, 29 наблюдение проходит  в активной форме, они веселы, жизнерадостны, хорошо воспринимают беременность, не поддаются удручающему настроению, оптимистичны.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 №№5,20,29 находятся в стабильном состоянии.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У №№ 1,13,22,23, 27,30 бывают  периоды невротических реакций, их больше интересует реакция близких и врачей на свое состояние, но в целом их состояние можно считать удовлетворительным.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подвержены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переживаниям женщины более старшего возраста,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беременности, находящиеся не один год в браке и проходящие лечение не первый раз (рис. 5).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textAlignment w:val="baseline"/>
        <w:rPr>
          <w:rFonts w:ascii="Pragmatica" w:eastAsia="Times New Roman" w:hAnsi="Pragmatica" w:cs="Times New Roman"/>
          <w:sz w:val="24"/>
          <w:szCs w:val="20"/>
          <w:lang w:eastAsia="ru-RU"/>
        </w:rPr>
      </w:pPr>
      <w:r>
        <w:rPr>
          <w:rFonts w:ascii="Pragmatica" w:eastAsia="Times New Roman" w:hAnsi="Pragmatica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6141BDC0" wp14:editId="32195C5F">
            <wp:extent cx="5495925" cy="26860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по рис.5, женщины с патологией беременности в 4,6 раза чаще испытывают негативные эмоциональные переживания, чем женщины без патологии беременности (93%/20%).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коррекции негативных состояний, связанных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беременности, является реконструкция личности для правильного восприятия своего </w:t>
      </w:r>
      <w:proofErr w:type="gram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путем ориен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тации на возможность продолжения активной жизни в связи с неблагоприятным исходом беременности и во-вторых, положительного настроя на протекание беременности с целью ее сохранения.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того, как беременная женщина понимает и оценивает свое состояние, способствует установлению между врачом и беременной женщиной теплых, доверительных отношений. А это позволяет лучше мобилизовать резервные силы беременной для преодоления патологического процесса. Кроме того, углуб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ленное изучение психологии беременных расширяет науч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основы и возможности использования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деонтологических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в медицине.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необходима для сглаживания крайних вариантов негативного протекания патологии и предотвращения пато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логических форм реакций. Она достигается двумя одно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временными воздействиями: психологическим и психо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терапевтическим. Первое осуществляется посредством влияния на 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беременную женщину окружающей среды (психологи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ческий климат в семье, на работе и в лечебном отделе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нии), второе — непосредственно врачом при каждом контакте с беременной женщиной.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 нами предложен тренинг для</w:t>
      </w:r>
      <w:r w:rsidR="0059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беременных женщин (Приложение</w:t>
      </w:r>
      <w:proofErr w:type="gramStart"/>
      <w:r w:rsidR="0059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1 этапе тренинга проводится работа с такими новообразованиями синдрома беременности, как рефлексивное принятие нового собственного образа: "Я - в положении". Этот этап мы назвали симптомом нового "Я", который характеризуется признанием физиологических изменений в своем организме.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0"/>
          <w:lang w:eastAsia="ru-RU"/>
        </w:rPr>
        <w:t>С момента осознания и внутреннего принятия себя беременной у женщины обнаруживается симптом противоречивого отношения к беременности. С одной стороны - гордость за свою полноценность, возможность самореализации, приобретения женственности, переживания идентичности собственному полу, и в то же время - страх и беспокойство, порожденные фантазиями и социально навязанными установками.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этап. Далее возникает характерная для беременности психическая перестройка самосознания женщины с постепенным включением в него образа ребенка. В этот момент будущей матерью переживается симптом принятия новой жизни в себе. Амбивалентность переживаний сохраняется на высоком уровне. Принятие своего нового образа, статуса, роли проникнуто основным чувством: "у меня будет ребенок", смешанным с опасением успешности будущего материнства. Симптом, названный нами как симптом принятия новой жизни в себе, можно условно разделить на два качественно различных этапа. Вначале женщина осознает, что будет иметь ребенка; она как бы говорит себе: "Я не едина, я ношу в себе что-то".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этап. На следующем этапе происходит перенос доминанты с себя на будущего ребенка, появляется чувство гордости и единства с тем, кого она носит под сердцем. Для самой будущей матери вместе с ребенком вынашивается готовность к выполнению миссии материнства. Описанный симптом представляет собой </w:t>
      </w:r>
      <w:proofErr w:type="spellStart"/>
      <w:r w:rsidRPr="001C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акмеологическую</w:t>
      </w:r>
      <w:proofErr w:type="spellEnd"/>
      <w:r w:rsidRPr="001C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вершину синдрома беременности, являясь своеобразным индикатором восприятия, переработки и оценки женщиной опыта этого психофизиологического состояния.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Психологическую коррекцию беременных женщин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необходимо проводить, поскольку психологическая помощь способствует преодолению барьеров, мешающих лечению, нивелирует установку на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госпитализм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снимает страхи и устраняет возможность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ипохондризации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Следует научить предвидеть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искать причины не только физиологического, но и психологического уровня возникновения угрозы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беременности, изменить отношение к сложившейся ситуации.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проведя диагностические исследования беременных женщин, можно сделать основные выводы: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исследовании принимали участие беременные женщины в количестве 30 человек, из них 15 женщин – с угрозой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беременности. По результатам диагностического исследования типа отношения к болезни и эмоциональных особенностей было выявлено, что женщины с патологией беременности в 4,6 раза чаще испытывают негативные эмоциональные переживания, чем женщины без патологии беременности (93%/20%);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главной причиной у большинства женщин с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невынашиванием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являются страх, неуверенность, эмоциональная напряженность и другие негативные эмоциональные переживания женщины;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коррекционные мероприятия по снижению уровня тревожности, депрессии, эмоциональной напряженности должны проводиться с женщинами с риском </w:t>
      </w:r>
      <w:proofErr w:type="spellStart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1C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с ранних сроков беременности и на всем ее протяжении. </w:t>
      </w:r>
    </w:p>
    <w:p w:rsidR="001C138E" w:rsidRPr="001C138E" w:rsidRDefault="001C138E" w:rsidP="001C138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01" w:rsidRPr="001C138E" w:rsidRDefault="00CF0D01">
      <w:bookmarkStart w:id="9" w:name="_GoBack"/>
      <w:bookmarkEnd w:id="9"/>
    </w:p>
    <w:sectPr w:rsidR="00CF0D01" w:rsidRPr="001C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FF"/>
    <w:rsid w:val="001C138E"/>
    <w:rsid w:val="005949E8"/>
    <w:rsid w:val="009525FF"/>
    <w:rsid w:val="00C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Рис.1. Результаты исследования уровня тревожности</a:t>
            </a:r>
          </a:p>
        </c:rich>
      </c:tx>
      <c:layout>
        <c:manualLayout>
          <c:xMode val="edge"/>
          <c:yMode val="edge"/>
          <c:x val="0.10758377425044091"/>
          <c:y val="2.0202020202020204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419753086419748E-2"/>
          <c:y val="0.21212121212121213"/>
          <c:w val="0.89770723104056438"/>
          <c:h val="0.636363636363636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0.504</c:v>
                </c:pt>
                <c:pt idx="1">
                  <c:v>0.34300000000000003</c:v>
                </c:pt>
                <c:pt idx="2">
                  <c:v>0.16200000000000001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9320832"/>
        <c:axId val="129331968"/>
      </c:barChart>
      <c:catAx>
        <c:axId val="12932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331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331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3208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Рис.2. Результаты исследования самочувствия, активности, настроения</a:t>
            </a:r>
          </a:p>
        </c:rich>
      </c:tx>
      <c:layout>
        <c:manualLayout>
          <c:xMode val="edge"/>
          <c:yMode val="edge"/>
          <c:x val="0.15371024734982333"/>
          <c:y val="1.9230769230769232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406360424028266E-2"/>
          <c:y val="0.19871794871794871"/>
          <c:w val="0.88869257950530034"/>
          <c:h val="0.6602564102564102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30,00%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Лист1!$I$1:$I$3</c:f>
              <c:strCache>
                <c:ptCount val="3"/>
                <c:pt idx="0">
                  <c:v>высокий уровень САН</c:v>
                </c:pt>
                <c:pt idx="1">
                  <c:v>средний уровень САН</c:v>
                </c:pt>
                <c:pt idx="2">
                  <c:v>низкий уровень САН</c:v>
                </c:pt>
              </c:strCache>
            </c:strRef>
          </c:cat>
          <c:val>
            <c:numRef>
              <c:f>Лист1!$J$1:$J$3</c:f>
              <c:numCache>
                <c:formatCode>0.00%</c:formatCode>
                <c:ptCount val="3"/>
                <c:pt idx="0" formatCode="0%">
                  <c:v>0.3</c:v>
                </c:pt>
                <c:pt idx="1">
                  <c:v>0.4</c:v>
                </c:pt>
                <c:pt idx="2">
                  <c:v>0.30399999999999999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9338752"/>
        <c:axId val="129350656"/>
      </c:barChart>
      <c:catAx>
        <c:axId val="12933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350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3506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338752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Рис.3. Результаты исследования состояния депрессии</a:t>
            </a:r>
          </a:p>
        </c:rich>
      </c:tx>
      <c:layout>
        <c:manualLayout>
          <c:xMode val="edge"/>
          <c:yMode val="edge"/>
          <c:x val="0.10229276895943562"/>
          <c:y val="1.9607843137254902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238095238095233E-2"/>
          <c:y val="0.20261437908496732"/>
          <c:w val="0.88888888888888884"/>
          <c:h val="0.653594771241830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56,40%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Лист1!$I$1:$I$3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Лист1!$J$1:$J$3</c:f>
              <c:numCache>
                <c:formatCode>0.00%</c:formatCode>
                <c:ptCount val="3"/>
                <c:pt idx="0" formatCode="0%">
                  <c:v>0.16600000000000001</c:v>
                </c:pt>
                <c:pt idx="1">
                  <c:v>0.26600000000000001</c:v>
                </c:pt>
                <c:pt idx="2">
                  <c:v>0.56399999999999995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411392"/>
        <c:axId val="134414336"/>
      </c:barChart>
      <c:catAx>
        <c:axId val="13441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414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4143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4113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Рис.4. Обобщенные результаты исследования негативных эмоционально-личностных ососбенностей у беременных женщин </a:t>
            </a:r>
          </a:p>
        </c:rich>
      </c:tx>
      <c:layout>
        <c:manualLayout>
          <c:xMode val="edge"/>
          <c:yMode val="edge"/>
          <c:x val="0.1111111111111111"/>
          <c:y val="1.8382352941176471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783068783068779E-2"/>
          <c:y val="0.25735294117647056"/>
          <c:w val="0.89770723104056438"/>
          <c:h val="0.613970588235294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271864413828579E-3"/>
                  <c:y val="0.115150193209578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144471277700047E-4"/>
                  <c:y val="0.127870979910364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91894615137403E-3"/>
                  <c:y val="9.95560532248863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0.56700000000000006</c:v>
                </c:pt>
                <c:pt idx="1">
                  <c:v>0.19500000000000001</c:v>
                </c:pt>
                <c:pt idx="2">
                  <c:v>0.23200000000000001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5264896"/>
        <c:axId val="160593408"/>
      </c:barChart>
      <c:catAx>
        <c:axId val="13526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593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59340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526489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Рис.5. Сравнительные результаты исследования проявления негативных эмоционально-личностных характеристик у беременных женщин </a:t>
            </a:r>
          </a:p>
        </c:rich>
      </c:tx>
      <c:layout>
        <c:manualLayout>
          <c:xMode val="edge"/>
          <c:yMode val="edge"/>
          <c:x val="0.13227513227513227"/>
          <c:y val="1.8382352941176471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783068783068779E-2"/>
          <c:y val="0.26470588235294118"/>
          <c:w val="0.92063492063492058"/>
          <c:h val="0.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невынашивание беременности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Лист2!$B$2:$B$4</c:f>
              <c:numCache>
                <c:formatCode>0.00%</c:formatCode>
                <c:ptCount val="3"/>
                <c:pt idx="0" formatCode="0%">
                  <c:v>0.93300000000000005</c:v>
                </c:pt>
                <c:pt idx="1">
                  <c:v>7.0000000000000007E-2</c:v>
                </c:pt>
                <c:pt idx="2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беременность без патологии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Лист2!$C$2:$C$4</c:f>
              <c:numCache>
                <c:formatCode>0%</c:formatCode>
                <c:ptCount val="3"/>
                <c:pt idx="0">
                  <c:v>0.2</c:v>
                </c:pt>
                <c:pt idx="1">
                  <c:v>0.33</c:v>
                </c:pt>
                <c:pt idx="2" formatCode="0.00%">
                  <c:v>0.47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0610944"/>
        <c:axId val="160776576"/>
      </c:barChart>
      <c:catAx>
        <c:axId val="16061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776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7765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61094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1798941798941797"/>
          <c:y val="0.3125"/>
          <c:w val="0.32980599647266312"/>
          <c:h val="0.2132352941176470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2019-03-03T13:11:00Z</dcterms:created>
  <dcterms:modified xsi:type="dcterms:W3CDTF">2019-03-03T13:52:00Z</dcterms:modified>
</cp:coreProperties>
</file>