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7F6" w:rsidRPr="006317F6" w:rsidRDefault="006317F6" w:rsidP="006317F6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F6">
        <w:rPr>
          <w:rFonts w:ascii="Times New Roman" w:hAnsi="Times New Roman" w:cs="Times New Roman"/>
          <w:b/>
          <w:sz w:val="28"/>
          <w:szCs w:val="28"/>
        </w:rPr>
        <w:t>Потенциал развития агропромышленного комплекса России</w:t>
      </w:r>
    </w:p>
    <w:p w:rsidR="006317F6" w:rsidRPr="006317F6" w:rsidRDefault="006317F6" w:rsidP="006317F6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четыре года действительно оказались переломными в контексте развития отечественного сельского хозяйства. Санкции вынудили Россию усиливать свою продовольственную безопасность. Статистика свидетельствует, что в период с 2013-2015 гг. удалось добиться снижения импортных поставок по фруктам (на 10%), по молочной продукции (на 2,8%), по прочей продукции животноводства (на 7%), а также сокращения динамики роста импорта по таким видам продовольственных товаров, как овощи (до 1,2%), прочая продукция растениеводства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 9,6%), мясо КРС (до 9,8%).</w:t>
      </w:r>
    </w:p>
    <w:p w:rsid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объемы импортных поставок сельскохозяйственной продукции все еще остаются значительными (доля импорта продовольственных товаров составляет 34% в общем объеме потребления). Так, доля импортных поставок составляет: 100% в генетическом материале для птицеводства, 65% в ветеринарных препаратах, 60% в вакц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инах, 50% в кормовых добавках.</w:t>
      </w:r>
    </w:p>
    <w:p w:rsid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ситуация во многом обусловлена огромным нереализованным потенциалом, которым характеризуется сегодня развитие отрасли, по всем ключевым факторам конкурентоспособности аграрного сектора (земельные ресурсы, технологии, рынки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сбыта, человеческий капитал).</w:t>
      </w:r>
    </w:p>
    <w:p w:rsid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располагает огромным резервом основного сельскохозяйственного ресурса – сельскохозяйственными землями (порядка 132 млн га), на её долю приходится порядка 10% мировой пашни и 55% мировых запасов чернозема. Между тем порядка 41 млн га земли заброшены (сопоставимо по площади с площадью всей пашни Канады, вдвое больше площади пахотных земель Франции). Увеличение вовлеченных в оборот земель позволило бы резко нарастить объемы сельскохозяйственного произ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водства экстенсивным способом.</w:t>
      </w:r>
    </w:p>
    <w:p w:rsid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ключевой источник роста сельхозпроизводства в России, интенсивным способом – это внедрение современных технологий, позволяющих существенно повысит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урожайность сельхозпродукции.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Урожайность зерновых и зернобобовых культур в США и Франции более чем в три раза превосходит аналогичные показатели по России (согласно данным за 2013 год), по надою молока на одну корову за 2013 год – показатели по США и Франции превышают российские в 2,5 и 1,6 раза. В России сокращается поголовье КРС (наблюдается снижение на 31% с 2000 по 2015 гг.), снижается обеспеченность фермеров сельскохозяйственной техникой (снижение с 1990-го года парка льноуборочных комбайнов на 96%, парка дождевальных и поливных установок на 93%, снижение с 2000 г. по 2014 г. с 7 до 3 машин 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1000 га пашни по тракторам, с 5 до 2 комбайнов на 1000 га посевов соответствующих культур по зерноуборочным комбайнам, с 16 до 3 свеклоуборочных машин на 1000 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 посевов сахарной свеклы).  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Основополагающим фактором для развития АПК является наличие рынка сбыта продукции. У России есть еще одно, действительно уникальное в сравнении с мировыми поставщиками сельхозпродукции преимущество – огромное количество земли, с 90-х годов прошлого века отдохнувшей от химии и минеральных удобрений, что создает возможности производить и предлагать потребителю 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чистую продукцию.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занятых в сельском хозяйстве в России почти втрое превышает аналогичный показатель США и составляет 6,3 млн человек. Между тем, их востребованность в отечественном сельском хозяйстве остается невысокой. Уровень безработицы на селе вдвое выше, чем в среднем по экономике РФ, а уровень заработной платы почти вдвое ниже. Количество сельских жителей продолжает неуклонно сокращаться — так, начиная с 1989 года, свое существование прекратили в общей сложности 25 000 деревень, сельское население с 2000 по 2014 год с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ократилось на 1,2 млн человек.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Бабкин предлагает остановиться на ключевых принципах, без следования которым развитие АПК не представляется возможным.Таким образом, использование человеческого капитала в отечественном сельском хозяйстве, по аналогии с другими факторами конкурентоспособности АПК, характеризуется, с одной стороны, богатством ресурсов и возможностей, а с другой стороны сильно не дореализованным потенциалом. Причем дальнейшее промедление в решении проблем занятых в сельском хозяйстве — наиболее опасное промедление, ведь именно качеством жизни 40 млн селян, людей, обеспечивающих продовольственную независимость нашей страны, определяет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социальное здоровье России.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программные документы в области развития сельского хозяйства, включая Государственную программу в целом отличаются постановкой малоамбициозных задач. Необходим переход от ретроспективного планирования на базе ранее достигнутых результатов в сельском хозяйстве к планированию, основанному на оценке реальных производственных возможностей отечественного аграрного сектора и емкости ры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продуктов питания.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второго основополагающего принципа развития АПК необходимо обозначить приоритет создания равных условий конкуренции на рынке между российскими 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зарубежными производителями.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Сегодня, объем средств, направляемых на развитие сельского хозяйства в России, несравним с поддержкой, которую получают основные конкуренты РФ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ВТО. Россия вступила в ВТО на условиях, запрещающих прямое субсидирование экспорта сельскохозяйственной продукции, а разрешенный объем государственной поддержки на внутреннем рынке ограничен 4,4 млрд долларов в год, и даже этот уровень субсидирования не реализуется сегодня полностью. Между тем, субсидирование производителей сельскохозяйственной продукции оказывает непосредственное влияние на стоимость выпускаемого на рынок товара, существенно искажае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т конкурентную среду на рынке.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интересов РФ в контексте проблемы выравнивания конкурентных условий необходимо: с одной стороны, активнее оспаривать незаконные субсидии других государств-членов ВТО, включая экспортные сельскохозяйственные субсидии, принимать активное участие в международных и двусторонних торговых переговорах по доступу на рынки сельхозпродукции; с другой стороны, довести размеры государственной поддержки АПК до максимально возможных в условиях ВТО уровней, использовать все возможные инструменты субсидирования производства и экспорта сельхозпродукции, включая экспортное кредитование, более активно использовать опыт других государств-членов ВТО в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субсидирования.      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особый интерес представляет опыт Индии и Турции в области скрытой поддержки экспорта сельскохозяйственной продукции. Так, в указанных странах, в соответствии с достигнутыми в ВТО договоренностями государством формируются существенные запасы продовольственной продукции путем закупок этих товаров у фермеров и последующей продажей этой продукции по гарантированным (администрируемым) закупочным ценам (программа «Public stockholding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for food security purposes»).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Подразумевается, что эти запасы продовольствия могут быть направлены на внутренний рынок по низким ценам, либо безвозмездно в качестве внутренней продовольственной помощи в случае неурожаев, стихийных бедствий и т.п.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меры способствует поддержке уровня доходов и цен на фермерскую продукцию, но кроме того, практикуется продажа такой продукции на внешних рынках (также по низким ценам), что стимулирует спрос на такую продукцию, существенно повышает позиции национальных фермеров в сравнении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импортными конкурентами.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3.Третий принцип – приоритет повышения инвестицион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привлекательности отрасли.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Инвестиционная привлекательность отечественного АПК может быть сегодня основана либо на дешевом заемном финансировании, либо на наличии высоких цен и 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рентабельности. Вопрос дешевого заемного финансирования до настоящего времени не решен, в результате кредитные средства, привлекаемые предприятиями АПК, ориентированы главным образом на решение краткосрочных задач – пополнение оборотного капитала. Ситуация с закредитованностью дорогостоящими кредитами продолжает оставаться одной из главных проблем фермеров (объем фермерских займов сегодня превыша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 50% годового производства).</w:t>
      </w:r>
    </w:p>
    <w:p w:rsidR="006317F6" w:rsidRP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решение поставленной проблемы видится скорее в плоскости макроэкономических мер – снижение Центральным Банком процентной ставки, а не очередное выделение бюджетных средств для субсидирования ставки по отдельным сельскохозяйственным проектам (как это предлагается сейчас Правительством РФ на очередной бюджетный год).</w:t>
      </w:r>
    </w:p>
    <w:p w:rsidR="006317F6" w:rsidRP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Финансировать инвестиции в обновление материально-технической базы возможно не только за счет заемных, но и за счет собственных средств – полученной прибыли, но в связи с тем, что цены на большинство продуктов сельского хозяйства в РФ были ниже, чем в ЕС и США, рентабельность сельхозпроизводства в РФ с учетом субсидий была почти втрое ниже, чем в вышеназванных странах.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улучшения ситуации с рентабельностью необходимо предпринять целый комплекс мер, которые, на основе опыта развитых стран условно можно разделить на три основн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группы:</w:t>
      </w:r>
    </w:p>
    <w:p w:rsidR="00286049" w:rsidRDefault="00286049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экспорта. </w:t>
      </w:r>
      <w:r w:rsidR="006317F6"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наступательного протекционизма. Предлагаемые меры: активная позиция в рамках ВТО в вопросах доступа на рынки партнеров, контроль над равными условиями конкуренции; запрет введения эмбарго на экспорт сельхозпродукции; повышение эффективности системы субсидирования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экспортных кредитов в АПК.    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звитие внутреннего рынка сбыта. 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оборонительного протекционизма. Предлагаемые меры:  повышение эффективности системы контроля качества продукции; введение ограничений на импорт; дотации малоимущим гражданам на продукты питания отечественного производства (продуктовые карточки на основе опыта США); внедрение механизма поддержки спроса на российскую сельскохозяйственную продукцию, аналогичного субсидии № 1432 в сельскохозяйственном машиностроении (возможность для российского производителя предоставить скидку на свою продукцию за счет государственной субсидии).     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6049" w:rsidRDefault="00286049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производства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Системные изменения. Предлагаемые меры: повышение прозрачности распределения субсидий; развитие системы страхования от неурожая (взамен системы 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интервенций); снижение налоговой нагрузки (замена всех налогов на ЕСХН) и упрощение отчетности; внедрение системы национальных проектов (мелиорация, лен и т.п.); адресные меры поддержки производства и сбыта рыбной продукции (квота под киль, рыбный день в государственных учреждениях, продовольственные карточки, стимулирование вложений в переработку, упрощение налогообложения и таможенных процедур); разумная технологическая политика (вложения в науку и НИОКР, инвестиции в образование); стимулирование коммерческого использования земель (упрощение процедуры регистрации прав собственности на землю); развитие инфраструктуры на селе (государственные вложения в строительство школ, больниц, дорог – необходимо стремиться к выравниванию условий жизни в городе и на селе).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АПК – 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драйвер роста экономики страны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«Аграрный сектор экономики может и должен стать драйвером роста многих отраслей экономики страны» — заявил директор АО «Петербургский тракторный завод» Сергей Серебряков. Основная проблема АПК заключается в финансовой системе, которая призвана смягчать «провалы» рынка, но в нашем случае она бездейств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ует, а значит противодействует.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бедой России Сергей Серебряков считает учебные программы общеобразовательной и высшей школы, включая образовательные стандарты по специальностям социально-управленческого профиля, где не дают ни малейшего представления об этих объективных закономерностях и их воздействии на жизнь общества и глобальной цивилизации. «Из этого невежества и проистекают такие вредоносные управленческие решения, которыми живет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страна» — заявил выступающий.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сложившихся условиях непредсказуемости выход один — отказ от специализации и распределение рисков потери ожидаемых доходов за счёт организации одновременного производства нескольких различных культур. Как следствие потеря эффективности и ухудшен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состояния окружающей среды.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«Уровень развития земледелия и растениеводства в России находится на уровне 30-х – 40-х годов» — так начал свое выступление партнер ООО «АгроЭкспорт» Андрей Крюков. Его предложения сводятся к адаптации и разработке протоколов выращивания для каждого региона с учетом специфики, использование сельхозтехники российского производства и увеличение экспорта. Для достижения этих целей необходима государственная поддержка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централизация планирования.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 «Petrova Five Consulting» Марина Петрова в своем выступлении рассказала о пути повышения конкурентоспособности российской молочной отрасли. Ключевые отраслевые показатели в РФ уже более 25 лет показывают негативную </w:t>
      </w: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динамику, но внутренний потенциал рынка даже в ситуации сниженного спроса дает возможность для разви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российских производителей.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факторами успеха для развития молочной отрасли, по мнению выступающей, является достаточный и своевременный объем господдержки, низкие кредитные ставки (субсидирование процентной ставки), стабильное и высокое качество молока и молочной продукции, сбалансированный, часто «нишевый» ассортимент, взвешенная ценовая политика, исключающая резкие колебания, сильный бренд, упаковочные решения, последователь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и четкая стратегия продаж.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Основатель сыроварни «Русский пармезан» Олег Сирота пожаловался на отсутствие специалистов в отрасли АПК, а также нехватку финансирования. Решение данных проблем и повышение конкурентоспособности АПК фермер видит в выходе России из ВТО и поднятии пошлин на 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ввоз товаров на территорию РФ.</w:t>
      </w:r>
    </w:p>
    <w:p w:rsidR="00286049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Андрей Даниленко, председатель Правления Национального союза производителей молока, рассказал, что отечественная продукция, которая существенно дешевле по себестоимости иностранных аналогов, не может попасть на европейск</w:t>
      </w:r>
      <w:r w:rsidR="00286049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рынки из-за высоких пошлин.</w:t>
      </w:r>
    </w:p>
    <w:p w:rsidR="006317F6" w:rsidRPr="006317F6" w:rsidRDefault="006317F6" w:rsidP="00631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F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государственной поддержки в других странах в разы больше, чем в РФ, что тоже делает нас неконкурентоспособными. По словам Даниленко, существует три ключевые задачи: говорить правду о той ситуации, которая на сегодняшний день у нас складывается, защищать своих производителей не хуже, чем другие страны защищают своих производителей и обеспечивать те условия, которые получают производители в других странах. «И поверьте, будем расти, развиваться и завалим другие страны продукцией более дешевой по своей себестоимости, просто условия должны быть равными, вот и все» – такими словами закончил свое выступление председатель правления «Союзмолоко».</w:t>
      </w:r>
    </w:p>
    <w:p w:rsidR="007314BE" w:rsidRPr="006317F6" w:rsidRDefault="006317F6" w:rsidP="006317F6">
      <w:pPr>
        <w:tabs>
          <w:tab w:val="left" w:pos="3195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6317F6">
        <w:rPr>
          <w:sz w:val="24"/>
          <w:szCs w:val="24"/>
        </w:rPr>
        <w:tab/>
      </w:r>
    </w:p>
    <w:sectPr w:rsidR="007314BE" w:rsidRPr="006317F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2DA" w:rsidRDefault="006442DA" w:rsidP="006317F6">
      <w:pPr>
        <w:spacing w:after="0" w:line="240" w:lineRule="auto"/>
      </w:pPr>
      <w:r>
        <w:separator/>
      </w:r>
    </w:p>
  </w:endnote>
  <w:endnote w:type="continuationSeparator" w:id="0">
    <w:p w:rsidR="006442DA" w:rsidRDefault="006442DA" w:rsidP="006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766472"/>
      <w:docPartObj>
        <w:docPartGallery w:val="Page Numbers (Bottom of Page)"/>
        <w:docPartUnique/>
      </w:docPartObj>
    </w:sdtPr>
    <w:sdtEndPr/>
    <w:sdtContent>
      <w:p w:rsidR="006317F6" w:rsidRDefault="006317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049">
          <w:rPr>
            <w:noProof/>
          </w:rPr>
          <w:t>1</w:t>
        </w:r>
        <w:r>
          <w:fldChar w:fldCharType="end"/>
        </w:r>
      </w:p>
    </w:sdtContent>
  </w:sdt>
  <w:p w:rsidR="006317F6" w:rsidRDefault="006317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2DA" w:rsidRDefault="006442DA" w:rsidP="006317F6">
      <w:pPr>
        <w:spacing w:after="0" w:line="240" w:lineRule="auto"/>
      </w:pPr>
      <w:r>
        <w:separator/>
      </w:r>
    </w:p>
  </w:footnote>
  <w:footnote w:type="continuationSeparator" w:id="0">
    <w:p w:rsidR="006442DA" w:rsidRDefault="006442DA" w:rsidP="00631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F6"/>
    <w:rsid w:val="00286049"/>
    <w:rsid w:val="006317F6"/>
    <w:rsid w:val="006442DA"/>
    <w:rsid w:val="0073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1625"/>
  <w15:chartTrackingRefBased/>
  <w15:docId w15:val="{A118D0BD-A3A8-4ED0-9849-FB241480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7F6"/>
  </w:style>
  <w:style w:type="paragraph" w:styleId="a5">
    <w:name w:val="footer"/>
    <w:basedOn w:val="a"/>
    <w:link w:val="a6"/>
    <w:uiPriority w:val="99"/>
    <w:unhideWhenUsed/>
    <w:rsid w:val="006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2106</Words>
  <Characters>12010</Characters>
  <Application>Microsoft Office Word</Application>
  <DocSecurity>0</DocSecurity>
  <Lines>100</Lines>
  <Paragraphs>28</Paragraphs>
  <ScaleCrop>false</ScaleCrop>
  <Company>diakov.net</Company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2019-04-22T12:55:00Z</dcterms:created>
  <dcterms:modified xsi:type="dcterms:W3CDTF">2019-04-22T13:04:00Z</dcterms:modified>
</cp:coreProperties>
</file>