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DA" w:rsidRDefault="005767DA" w:rsidP="005767D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Эссе. Диагностика личности</w:t>
      </w:r>
    </w:p>
    <w:p w:rsidR="005767DA" w:rsidRDefault="005767DA" w:rsidP="006459A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Default="00EC2F9D" w:rsidP="006459A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C">
        <w:rPr>
          <w:rFonts w:ascii="Times New Roman" w:hAnsi="Times New Roman" w:cs="Times New Roman"/>
          <w:sz w:val="28"/>
          <w:szCs w:val="28"/>
        </w:rPr>
        <w:t xml:space="preserve">С древнейших времен предпринимались попытки определить основные типы личности. Первая классификация типов личности по темпераменту была разработана Гиппократом. Существуют физические, психологические и психофизиологические типологии личности. Из психологической типологии наиболее интересными представляются психоаналитические типологии, которые учитывают глубинные свойства психики личности и их ориентацию на объекты окружающего мира. Элементами любых социальных систем, безусловно являются люди. Реалии выдвигают на передний план необходимость эффективного использования способностей и потенциала человека. Поведение человека, а, следовательно, и возможных воздействий на личность, в значительной степени зависят от психологических особенностей личности, принадлежности к определенному психологическому типу, характеру, темпераменту. </w:t>
      </w:r>
    </w:p>
    <w:p w:rsidR="006459AC" w:rsidRPr="006459AC" w:rsidRDefault="00FC6A27" w:rsidP="0064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C">
        <w:rPr>
          <w:rFonts w:ascii="Times New Roman" w:hAnsi="Times New Roman" w:cs="Times New Roman"/>
          <w:sz w:val="28"/>
          <w:szCs w:val="28"/>
        </w:rPr>
        <w:t>Рассмотрим результаты исследования взаимосвязи свойств темперамента и механизмов психологической защиты личности. Для проведения экспериментальной части исследования были подобраны методики, соответствующие цели работы - определить особенности взаимосвязи защитной стратегии и ее индивидуально-биологических свойств, в частности, свойств темперамента. В качестве методики был выбран опросник LSI Р. Плутчика (восемь механизмов). Для диагностики свойств темперамента был использован опросник EPI (Айзенка)</w:t>
      </w:r>
      <w:r w:rsidR="006459AC" w:rsidRPr="006459AC">
        <w:rPr>
          <w:rFonts w:ascii="Times New Roman" w:hAnsi="Times New Roman" w:cs="Times New Roman"/>
          <w:sz w:val="28"/>
          <w:szCs w:val="28"/>
        </w:rPr>
        <w:t xml:space="preserve"> и опросник Исследование психологической структуры темперамента</w:t>
      </w:r>
      <w:r w:rsidR="006459AC">
        <w:rPr>
          <w:rFonts w:ascii="Times New Roman" w:hAnsi="Times New Roman" w:cs="Times New Roman"/>
          <w:sz w:val="28"/>
          <w:szCs w:val="28"/>
        </w:rPr>
        <w:t>»</w:t>
      </w:r>
      <w:r w:rsidR="006459AC" w:rsidRPr="006459AC">
        <w:rPr>
          <w:rFonts w:ascii="Times New Roman" w:hAnsi="Times New Roman" w:cs="Times New Roman"/>
          <w:sz w:val="28"/>
          <w:szCs w:val="28"/>
        </w:rPr>
        <w:t xml:space="preserve"> Б.Н. Смирнова. В исследовании приняли участие 30 респондентов. </w:t>
      </w:r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</w:t>
      </w:r>
      <w:r w:rsidRPr="006459AC">
        <w:rPr>
          <w:rFonts w:ascii="Times New Roman" w:hAnsi="Times New Roman" w:cs="Times New Roman"/>
          <w:sz w:val="28"/>
          <w:szCs w:val="28"/>
        </w:rPr>
        <w:t xml:space="preserve"> приведены средние значения параметров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59AC">
        <w:rPr>
          <w:rFonts w:ascii="Times New Roman" w:hAnsi="Times New Roman" w:cs="Times New Roman"/>
          <w:sz w:val="28"/>
          <w:szCs w:val="28"/>
        </w:rPr>
        <w:t>нейротизм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9A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59AC">
        <w:rPr>
          <w:rFonts w:ascii="Times New Roman" w:hAnsi="Times New Roman" w:cs="Times New Roman"/>
          <w:sz w:val="28"/>
          <w:szCs w:val="28"/>
        </w:rPr>
        <w:t xml:space="preserve"> экстраверсия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9AC">
        <w:rPr>
          <w:rFonts w:ascii="Times New Roman" w:hAnsi="Times New Roman" w:cs="Times New Roman"/>
          <w:sz w:val="28"/>
          <w:szCs w:val="28"/>
        </w:rPr>
        <w:t>, полученные с помощью методики EPI (Айзенка) для 4-х групп.</w:t>
      </w:r>
    </w:p>
    <w:p w:rsidR="00FC6A27" w:rsidRPr="006459AC" w:rsidRDefault="006459AC" w:rsidP="006459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AC">
        <w:rPr>
          <w:rFonts w:ascii="Times New Roman" w:hAnsi="Times New Roman" w:cs="Times New Roman"/>
          <w:sz w:val="28"/>
          <w:szCs w:val="28"/>
        </w:rPr>
        <w:t xml:space="preserve">Таблица 1 - Средние значения параметров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59AC">
        <w:rPr>
          <w:rFonts w:ascii="Times New Roman" w:hAnsi="Times New Roman" w:cs="Times New Roman"/>
          <w:sz w:val="28"/>
          <w:szCs w:val="28"/>
        </w:rPr>
        <w:t>нейротизм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9A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59AC">
        <w:rPr>
          <w:rFonts w:ascii="Times New Roman" w:hAnsi="Times New Roman" w:cs="Times New Roman"/>
          <w:sz w:val="28"/>
          <w:szCs w:val="28"/>
        </w:rPr>
        <w:t>экстраверсия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59AC">
        <w:rPr>
          <w:rFonts w:ascii="Times New Roman" w:hAnsi="Times New Roman" w:cs="Times New Roman"/>
          <w:sz w:val="28"/>
          <w:szCs w:val="28"/>
        </w:rPr>
        <w:t xml:space="preserve"> для 4-х групп по методике EPI (Г. Айзенка)</w:t>
      </w:r>
    </w:p>
    <w:tbl>
      <w:tblPr>
        <w:tblW w:w="9189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901"/>
        <w:gridCol w:w="928"/>
        <w:gridCol w:w="930"/>
        <w:gridCol w:w="956"/>
        <w:gridCol w:w="919"/>
        <w:gridCol w:w="952"/>
        <w:gridCol w:w="881"/>
        <w:gridCol w:w="920"/>
      </w:tblGrid>
      <w:tr w:rsidR="006459AC" w:rsidRPr="006459AC" w:rsidTr="003E150D">
        <w:trPr>
          <w:trHeight w:val="1026"/>
        </w:trPr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сангвиники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меланхолики</w:t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флегматики</w:t>
            </w: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холерики</w:t>
            </w:r>
          </w:p>
        </w:tc>
      </w:tr>
      <w:tr w:rsidR="006459AC" w:rsidRPr="006459AC" w:rsidTr="003E150D">
        <w:trPr>
          <w:trHeight w:val="10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</w:tr>
      <w:tr w:rsidR="006459AC" w:rsidRPr="006459AC" w:rsidTr="003E150D">
        <w:trPr>
          <w:trHeight w:val="1026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экстраверсия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</w:tr>
      <w:tr w:rsidR="006459AC" w:rsidRPr="006459AC" w:rsidTr="003E150D">
        <w:trPr>
          <w:trHeight w:val="1026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нейротизм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</w:tbl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- среднее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</w:t>
      </w:r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SD - стандартное отклонение</w:t>
      </w:r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Обобщенные средние показатели параметров опросника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структуре темперамента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Б.Н. 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мирнова представлены в таблице 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bookmarkStart w:id="0" w:name="_GoBack"/>
      <w:bookmarkEnd w:id="0"/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Таблица 2 - Средние значения параметров опросника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«Исследование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структур</w:t>
      </w:r>
      <w:r w:rsidR="00E836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Б.Н. Смирнова</w:t>
      </w:r>
    </w:p>
    <w:tbl>
      <w:tblPr>
        <w:tblW w:w="9212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909"/>
        <w:gridCol w:w="953"/>
        <w:gridCol w:w="950"/>
        <w:gridCol w:w="981"/>
        <w:gridCol w:w="942"/>
        <w:gridCol w:w="977"/>
        <w:gridCol w:w="887"/>
        <w:gridCol w:w="940"/>
      </w:tblGrid>
      <w:tr w:rsidR="006459AC" w:rsidRPr="006459AC" w:rsidTr="003E150D">
        <w:trPr>
          <w:trHeight w:val="864"/>
        </w:trPr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сангвиники</w:t>
            </w:r>
          </w:p>
        </w:tc>
        <w:tc>
          <w:tcPr>
            <w:tcW w:w="1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меланхолики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флегматики</w:t>
            </w:r>
          </w:p>
        </w:tc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холерики</w:t>
            </w:r>
          </w:p>
        </w:tc>
      </w:tr>
      <w:tr w:rsidR="003E150D" w:rsidRPr="006459AC" w:rsidTr="003E150D">
        <w:trPr>
          <w:trHeight w:val="2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</w:t>
            </w:r>
          </w:p>
        </w:tc>
      </w:tr>
      <w:tr w:rsidR="003E150D" w:rsidRPr="006459AC" w:rsidTr="003E150D">
        <w:trPr>
          <w:trHeight w:val="559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87341D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экстраверсия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3E150D" w:rsidRPr="006459AC" w:rsidTr="003E150D">
        <w:trPr>
          <w:trHeight w:val="559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87341D" w:rsidP="008734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возбуд.</w:t>
            </w: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</w:tr>
      <w:tr w:rsidR="003E150D" w:rsidRPr="006459AC" w:rsidTr="003E150D">
        <w:trPr>
          <w:trHeight w:val="534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87341D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ригидность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</w:tr>
      <w:tr w:rsidR="003E150D" w:rsidRPr="006459AC" w:rsidTr="003E150D">
        <w:trPr>
          <w:trHeight w:val="559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87341D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реакции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3E150D" w:rsidRPr="006459AC" w:rsidTr="003E150D">
        <w:trPr>
          <w:trHeight w:val="559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87341D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</w:t>
            </w:r>
          </w:p>
        </w:tc>
      </w:tr>
    </w:tbl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 - </w:t>
      </w:r>
      <w:r w:rsidR="00873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значение</w:t>
      </w:r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SD - стандартное отклонение</w:t>
      </w:r>
    </w:p>
    <w:p w:rsidR="0047500F" w:rsidRPr="006459AC" w:rsidRDefault="006459AC" w:rsidP="00475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изучение показателей защитных механизмов в 4 группах - сангвиники, меланхолики, флегматики, холерики - позволило выделить в группах степень напряженности каждого из механизмов психологической защиты. Полученные данные представлены в форме ст</w:t>
      </w:r>
      <w:r w:rsidR="004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олбиковой диаграммы </w:t>
      </w:r>
      <w:r w:rsidR="004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(рис. 1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7500F"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были определены средние показатели общей напряженности защитных стратегий в группах (см. </w:t>
      </w:r>
      <w:r w:rsidR="004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7500F"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аблица 3)</w:t>
      </w:r>
      <w:r w:rsidR="00475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500F" w:rsidRPr="006459AC" w:rsidRDefault="0047500F" w:rsidP="003E15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3B5BFD" wp14:editId="6229140F">
            <wp:extent cx="5858539" cy="3466214"/>
            <wp:effectExtent l="0" t="0" r="8890" b="12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 </w:t>
      </w:r>
      <w:r w:rsidR="00C23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Профили </w:t>
      </w:r>
      <w:r w:rsidR="00D5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психологической защиты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средние значения напряженности параметров LSI для групп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сангвиники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5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меланхол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флегматики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холерики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459AC" w:rsidRPr="006459AC" w:rsidRDefault="006459AC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Таблица 3 - Средние показатели общей напряженно</w:t>
      </w:r>
      <w:r w:rsidR="00D54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 защитных стратегий по группам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сангвиники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меланхолики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флегматики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1" w:name="OLE_LINK2"/>
      <w:r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холерики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630"/>
        <w:gridCol w:w="1885"/>
        <w:gridCol w:w="1885"/>
        <w:gridCol w:w="2141"/>
      </w:tblGrid>
      <w:tr w:rsidR="006459AC" w:rsidRPr="006459AC" w:rsidTr="00C23114">
        <w:trPr>
          <w:trHeight w:val="373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сангвиники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меланхолики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флегматики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холерики</w:t>
            </w:r>
          </w:p>
        </w:tc>
      </w:tr>
      <w:tr w:rsidR="006459AC" w:rsidRPr="006459AC" w:rsidTr="00C23114">
        <w:trPr>
          <w:trHeight w:val="359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напряженность (%)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59AC" w:rsidRPr="006459AC" w:rsidRDefault="006459AC" w:rsidP="006459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</w:tr>
    </w:tbl>
    <w:p w:rsidR="00C46A32" w:rsidRDefault="00C46A32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49B" w:rsidRDefault="00C46A32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Проведенное исследование показывает, что для «сангвиников» ведущими являются следующие механизмы психологической защиты: отрицание, интеллектуализация, вытеснение. «Меланхоликам» характерно преобладание проекции, регрессии, компенсации. «Флегматикам» характерно преобладание отрицания, интеллектуализации.  </w:t>
      </w:r>
      <w:r w:rsidR="00C22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«Холерикам» свойственны проекция, регрессия, а также реактивное образование. </w:t>
      </w:r>
    </w:p>
    <w:p w:rsidR="0030549B" w:rsidRPr="00BD6EAB" w:rsidRDefault="0030549B" w:rsidP="00BD6E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Проведенный статистический анализ данных показывает наличие 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достоверно значимых различий по следующим шкалам LSI: Вытеснение (этот вид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психологической защиты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сангвиников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p&lt;0,05)  и Реактивное образование (выше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олериков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p&lt;0,001).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мы установили, что между группами «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меланхолики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флегматики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существуют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достоверные  ра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зличия по следующим шкалам LSI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Отрицание, Регрессия, Компенсация, Проекция, Замещение,  Реактивное образование (p&lt;0,001),  Интеллектуализация (p&lt;0,05).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в соответствии с полученными результатами можно говорить о том, что сангвиников отличают более высокие значения по шкалам интеллектуализации и отрицания, а у меланхоликов преобладают проекция, замещение, реактивное образование,, интеллектуализация. 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 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«меланхолики»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холерики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значимо различаются по шкалам LSI: Отр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ицание, Реактивное  образование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(p&lt;0,001);  Регрессия, Компенсация, Замещение (p&lt;0,05).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обнаружены статистически значимые различия 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группами  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флегматики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«холерики»</w:t>
      </w:r>
      <w:r w:rsidR="00BD6EAB" w:rsidRPr="00BD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следующим шкалам LSI: Отрицание, Регрессия, Реактивное  образование (p&lt;0,001);  Проекция, Замещение, Интеллектуализация (p&lt;0,05).</w:t>
      </w:r>
    </w:p>
    <w:p w:rsidR="006459AC" w:rsidRDefault="00C23114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</w:t>
      </w:r>
      <w:r w:rsidR="006459AC"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исследования были получены данные, подтверждающие гипотезу исследования о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психологической защиты</w:t>
      </w:r>
      <w:r w:rsidR="006459AC"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свойств темперамента.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59AC" w:rsidRPr="00645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показали результаты проведенного исследования, каждому типу темперамента соответствует свой профиль механизмов психологической защиты.</w:t>
      </w:r>
      <w:r w:rsidR="003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7300" w:rsidRPr="006459AC" w:rsidRDefault="004C7300" w:rsidP="006459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проведенного исследования могут быть использованы в практической работе психолога. Та</w:t>
      </w:r>
      <w:r w:rsidR="00906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зная тип личности, практикующий психолог может сделать предположение об ожидаемых для данного типа темперамента механизмов психологической защиты, это будет способствовать повышению результативности его работы, эффективности его деятельности, как профессионала. </w:t>
      </w: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Будасси С.А. Защитные механизмы личности. / Программа спецкурсов. М .: Модус, 2014. - 112 с.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Костандов Э.А. О физиологических механизмах «психологической защиты» и безотчетных эмоциях. / В кн .: Бессознательное. Т. 1. - Тбилиси, 1978, с. 635 - 651.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 xml:space="preserve">Романова Е.С. Механизмы психологической защиты. Генезис. Функционирование. Диагностика. / Романова Е.С., Гребенников Л.Р. - Мытищи : Изд. «Талант», 2015. - 144 с. </w:t>
      </w:r>
    </w:p>
    <w:p w:rsidR="005767DA" w:rsidRPr="005767DA" w:rsidRDefault="005767DA" w:rsidP="005767DA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7DA">
        <w:rPr>
          <w:rFonts w:ascii="Times New Roman" w:hAnsi="Times New Roman" w:cs="Times New Roman"/>
          <w:sz w:val="28"/>
          <w:szCs w:val="28"/>
        </w:rPr>
        <w:t>Савенко Ю.С. Проблемы психологических компенсаторных механизмов и их типологии / Проблемы клиники и патогенеза психически х заболеваний. - М., 1974. - С. 95-112</w:t>
      </w:r>
    </w:p>
    <w:p w:rsidR="005767DA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DA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7DA" w:rsidRPr="006459AC" w:rsidRDefault="005767DA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9D" w:rsidRPr="006459AC" w:rsidRDefault="00EC2F9D" w:rsidP="006459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2F9D" w:rsidRPr="0064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0E93"/>
    <w:multiLevelType w:val="hybridMultilevel"/>
    <w:tmpl w:val="9BBE6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B"/>
    <w:rsid w:val="0030549B"/>
    <w:rsid w:val="003E150D"/>
    <w:rsid w:val="00410AE8"/>
    <w:rsid w:val="0047500F"/>
    <w:rsid w:val="004C7300"/>
    <w:rsid w:val="0057235B"/>
    <w:rsid w:val="005767DA"/>
    <w:rsid w:val="006459AC"/>
    <w:rsid w:val="0086251B"/>
    <w:rsid w:val="0087341D"/>
    <w:rsid w:val="00893156"/>
    <w:rsid w:val="008B1891"/>
    <w:rsid w:val="009062B4"/>
    <w:rsid w:val="00A26DB9"/>
    <w:rsid w:val="00A64A9B"/>
    <w:rsid w:val="00BD6EAB"/>
    <w:rsid w:val="00C229FC"/>
    <w:rsid w:val="00C23114"/>
    <w:rsid w:val="00C46A32"/>
    <w:rsid w:val="00D54D16"/>
    <w:rsid w:val="00D803E6"/>
    <w:rsid w:val="00E2574C"/>
    <w:rsid w:val="00E83651"/>
    <w:rsid w:val="00EC2F9D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7700"/>
  <w15:chartTrackingRefBased/>
  <w15:docId w15:val="{9535D227-AA09-4F18-85D7-D5A4AAE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9D"/>
  </w:style>
  <w:style w:type="paragraph" w:styleId="1">
    <w:name w:val="heading 1"/>
    <w:basedOn w:val="a"/>
    <w:next w:val="a"/>
    <w:link w:val="10"/>
    <w:uiPriority w:val="9"/>
    <w:qFormat/>
    <w:rsid w:val="00576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A26DB9"/>
    <w:pPr>
      <w:keepNext/>
      <w:spacing w:before="240" w:after="60"/>
      <w:outlineLvl w:val="2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A26DB9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a4">
    <w:name w:val="Заголовок Знак"/>
    <w:link w:val="a3"/>
    <w:rsid w:val="00A26DB9"/>
    <w:rPr>
      <w:rFonts w:ascii="Times New Roman" w:eastAsia="Times New Roman" w:hAnsi="Times New Roman"/>
      <w:b/>
      <w:bCs/>
      <w:kern w:val="28"/>
      <w:sz w:val="28"/>
      <w:szCs w:val="32"/>
    </w:rPr>
  </w:style>
  <w:style w:type="character" w:customStyle="1" w:styleId="30">
    <w:name w:val="Заголовок 3 Знак"/>
    <w:basedOn w:val="a0"/>
    <w:link w:val="3"/>
    <w:rsid w:val="00A26DB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64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6459AC"/>
  </w:style>
  <w:style w:type="character" w:customStyle="1" w:styleId="10">
    <w:name w:val="Заголовок 1 Знак"/>
    <w:basedOn w:val="a0"/>
    <w:link w:val="1"/>
    <w:uiPriority w:val="9"/>
    <w:rsid w:val="00576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5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сангвиники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Лист1!$A$4:$A$8</c:f>
              <c:strCache>
                <c:ptCount val="5"/>
                <c:pt idx="0">
                  <c:v>экстраверсия</c:v>
                </c:pt>
                <c:pt idx="1">
                  <c:v>эмоц. возбуд..</c:v>
                </c:pt>
                <c:pt idx="2">
                  <c:v>ригидность</c:v>
                </c:pt>
                <c:pt idx="3">
                  <c:v>темп реакции</c:v>
                </c:pt>
                <c:pt idx="4">
                  <c:v>активность</c:v>
                </c:pt>
              </c:strCache>
            </c:strRef>
          </c:cat>
          <c:val>
            <c:numRef>
              <c:f>Лист1!$B$4:$B$8</c:f>
              <c:numCache>
                <c:formatCode>General</c:formatCode>
                <c:ptCount val="5"/>
                <c:pt idx="0">
                  <c:v>20.399999999999999</c:v>
                </c:pt>
                <c:pt idx="1">
                  <c:v>6.57</c:v>
                </c:pt>
                <c:pt idx="2">
                  <c:v>6.4</c:v>
                </c:pt>
                <c:pt idx="3">
                  <c:v>12.5</c:v>
                </c:pt>
                <c:pt idx="4">
                  <c:v>17.78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17-4F0E-8115-12410661689A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меланхолики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Лист1!$A$4:$A$8</c:f>
              <c:strCache>
                <c:ptCount val="5"/>
                <c:pt idx="0">
                  <c:v>экстраверсия</c:v>
                </c:pt>
                <c:pt idx="1">
                  <c:v>эмоц. возбуд..</c:v>
                </c:pt>
                <c:pt idx="2">
                  <c:v>ригидность</c:v>
                </c:pt>
                <c:pt idx="3">
                  <c:v>темп реакции</c:v>
                </c:pt>
                <c:pt idx="4">
                  <c:v>активность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7.14</c:v>
                </c:pt>
                <c:pt idx="1">
                  <c:v>15.4</c:v>
                </c:pt>
                <c:pt idx="2">
                  <c:v>17.43</c:v>
                </c:pt>
                <c:pt idx="3">
                  <c:v>14.28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17-4F0E-8115-12410661689A}"/>
            </c:ext>
          </c:extLst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флегматики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Лист1!$A$4:$A$8</c:f>
              <c:strCache>
                <c:ptCount val="5"/>
                <c:pt idx="0">
                  <c:v>экстраверсия</c:v>
                </c:pt>
                <c:pt idx="1">
                  <c:v>эмоц. возбуд..</c:v>
                </c:pt>
                <c:pt idx="2">
                  <c:v>ригидность</c:v>
                </c:pt>
                <c:pt idx="3">
                  <c:v>темп реакции</c:v>
                </c:pt>
                <c:pt idx="4">
                  <c:v>активность</c:v>
                </c:pt>
              </c:strCache>
            </c:str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10</c:v>
                </c:pt>
                <c:pt idx="1">
                  <c:v>5.6</c:v>
                </c:pt>
                <c:pt idx="2">
                  <c:v>6</c:v>
                </c:pt>
                <c:pt idx="3">
                  <c:v>10.4</c:v>
                </c:pt>
                <c:pt idx="4">
                  <c:v>16.2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17-4F0E-8115-12410661689A}"/>
            </c:ext>
          </c:extLst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холерики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Лист1!$A$4:$A$8</c:f>
              <c:strCache>
                <c:ptCount val="5"/>
                <c:pt idx="0">
                  <c:v>экстраверсия</c:v>
                </c:pt>
                <c:pt idx="1">
                  <c:v>эмоц. возбуд..</c:v>
                </c:pt>
                <c:pt idx="2">
                  <c:v>ригидность</c:v>
                </c:pt>
                <c:pt idx="3">
                  <c:v>темп реакции</c:v>
                </c:pt>
                <c:pt idx="4">
                  <c:v>активность</c:v>
                </c:pt>
              </c:strCache>
            </c:strRef>
          </c:cat>
          <c:val>
            <c:numRef>
              <c:f>Лист1!$E$4:$E$8</c:f>
              <c:numCache>
                <c:formatCode>General</c:formatCode>
                <c:ptCount val="5"/>
                <c:pt idx="0">
                  <c:v>17.75</c:v>
                </c:pt>
                <c:pt idx="1">
                  <c:v>17</c:v>
                </c:pt>
                <c:pt idx="2">
                  <c:v>7.25</c:v>
                </c:pt>
                <c:pt idx="3">
                  <c:v>17.25</c:v>
                </c:pt>
                <c:pt idx="4">
                  <c:v>21.75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17-4F0E-8115-1241066168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2088040"/>
        <c:axId val="292088368"/>
      </c:barChart>
      <c:catAx>
        <c:axId val="292088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088368"/>
        <c:crosses val="autoZero"/>
        <c:auto val="1"/>
        <c:lblAlgn val="ctr"/>
        <c:lblOffset val="100"/>
        <c:noMultiLvlLbl val="0"/>
      </c:catAx>
      <c:valAx>
        <c:axId val="29208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2088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756</Words>
  <Characters>5432</Characters>
  <Application>Microsoft Office Word</Application>
  <DocSecurity>0</DocSecurity>
  <Lines>208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 Гребенев</cp:lastModifiedBy>
  <cp:revision>22</cp:revision>
  <dcterms:created xsi:type="dcterms:W3CDTF">2019-07-15T06:43:00Z</dcterms:created>
  <dcterms:modified xsi:type="dcterms:W3CDTF">2019-07-15T06:14:00Z</dcterms:modified>
</cp:coreProperties>
</file>