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444D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641" w:rsidRP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664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Структурно-содержательное наполнение внутренних угроз энергетической безопасности Российской Федерации-2030 и их характеристика по группам</w:t>
      </w:r>
      <w:r w:rsidRPr="009266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B444DB">
        <w:rPr>
          <w:rFonts w:ascii="Times New Roman" w:hAnsi="Times New Roman" w:cs="Times New Roman"/>
          <w:sz w:val="18"/>
          <w:szCs w:val="18"/>
        </w:rPr>
        <w:t>реферата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543666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</w:t>
      </w:r>
      <w:r w:rsidR="00926641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3AC2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DF7FC3" w:rsidRDefault="00DF7FC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C2" w:rsidRDefault="00603AC2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C3" w:rsidRPr="00DF7FC3" w:rsidRDefault="00DF7FC3" w:rsidP="00DF7F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</w:t>
      </w:r>
      <w:r w:rsidRPr="00DF7FC3">
        <w:rPr>
          <w:rFonts w:ascii="Times New Roman" w:hAnsi="Times New Roman" w:cs="Times New Roman"/>
          <w:sz w:val="28"/>
        </w:rPr>
        <w:t>……………………………...3</w:t>
      </w:r>
    </w:p>
    <w:p w:rsidR="00DF7FC3" w:rsidRPr="00DF7FC3" w:rsidRDefault="00DF7FC3" w:rsidP="00DF7FC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F7FC3">
        <w:rPr>
          <w:rFonts w:ascii="Times New Roman" w:hAnsi="Times New Roman" w:cs="Times New Roman"/>
          <w:sz w:val="28"/>
        </w:rPr>
        <w:t xml:space="preserve">1 </w:t>
      </w:r>
      <w:r w:rsidRPr="00DF7FC3">
        <w:rPr>
          <w:rFonts w:ascii="Times New Roman" w:hAnsi="Times New Roman" w:cs="Times New Roman"/>
          <w:sz w:val="28"/>
          <w:szCs w:val="28"/>
        </w:rPr>
        <w:t>Сущность энергетической безопасности</w:t>
      </w:r>
      <w:r w:rsidRPr="00DF7FC3">
        <w:rPr>
          <w:rFonts w:ascii="Times New Roman" w:hAnsi="Times New Roman" w:cs="Times New Roman"/>
          <w:sz w:val="28"/>
        </w:rPr>
        <w:t xml:space="preserve"> </w:t>
      </w:r>
      <w:r w:rsidRPr="00DF7FC3">
        <w:rPr>
          <w:rFonts w:ascii="Times New Roman" w:hAnsi="Times New Roman" w:cs="Times New Roman"/>
          <w:sz w:val="28"/>
        </w:rPr>
        <w:t>…………………...</w:t>
      </w:r>
      <w:r>
        <w:rPr>
          <w:rFonts w:ascii="Times New Roman" w:hAnsi="Times New Roman" w:cs="Times New Roman"/>
          <w:sz w:val="28"/>
        </w:rPr>
        <w:t>...........................5</w:t>
      </w:r>
    </w:p>
    <w:p w:rsidR="00DF7FC3" w:rsidRPr="00DF7FC3" w:rsidRDefault="00DF7FC3" w:rsidP="00DF7FC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F7FC3"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sz w:val="28"/>
        </w:rPr>
        <w:t> </w:t>
      </w:r>
      <w:r w:rsidRPr="00DF7FC3">
        <w:rPr>
          <w:rFonts w:ascii="Times New Roman" w:hAnsi="Times New Roman" w:cs="Times New Roman"/>
          <w:color w:val="000000" w:themeColor="text1"/>
          <w:sz w:val="28"/>
          <w:szCs w:val="28"/>
        </w:rPr>
        <w:t>Научное сообщество о внутренних угрозах энергетической безопасности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…………………………………………………………...</w:t>
      </w:r>
      <w:r>
        <w:rPr>
          <w:rFonts w:ascii="Times New Roman" w:hAnsi="Times New Roman" w:cs="Times New Roman"/>
          <w:sz w:val="28"/>
        </w:rPr>
        <w:t>8</w:t>
      </w:r>
    </w:p>
    <w:p w:rsidR="00DF7FC3" w:rsidRPr="00DF7FC3" w:rsidRDefault="00DF7FC3" w:rsidP="00DF7FC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F7FC3">
        <w:rPr>
          <w:rFonts w:ascii="Times New Roman" w:hAnsi="Times New Roman" w:cs="Times New Roman"/>
          <w:sz w:val="28"/>
        </w:rPr>
        <w:t>Заключение……………………………………………………………………….</w:t>
      </w:r>
      <w:r>
        <w:rPr>
          <w:rFonts w:ascii="Times New Roman" w:hAnsi="Times New Roman" w:cs="Times New Roman"/>
          <w:sz w:val="28"/>
        </w:rPr>
        <w:t>12</w:t>
      </w:r>
    </w:p>
    <w:p w:rsidR="00DF7FC3" w:rsidRPr="00DF7FC3" w:rsidRDefault="00DF7FC3" w:rsidP="00DF7FC3">
      <w:pPr>
        <w:spacing w:line="360" w:lineRule="auto"/>
        <w:jc w:val="both"/>
        <w:rPr>
          <w:rFonts w:ascii="Times New Roman" w:hAnsi="Times New Roman" w:cs="Times New Roman"/>
        </w:rPr>
      </w:pPr>
      <w:r w:rsidRPr="00DF7FC3">
        <w:rPr>
          <w:rFonts w:ascii="Times New Roman" w:hAnsi="Times New Roman" w:cs="Times New Roman"/>
          <w:color w:val="000000"/>
          <w:sz w:val="28"/>
        </w:rPr>
        <w:t xml:space="preserve">Список </w:t>
      </w:r>
      <w:r>
        <w:rPr>
          <w:rFonts w:ascii="Times New Roman" w:hAnsi="Times New Roman" w:cs="Times New Roman"/>
          <w:color w:val="000000"/>
          <w:sz w:val="28"/>
        </w:rPr>
        <w:t>реферируемой</w:t>
      </w:r>
      <w:r w:rsidRPr="00DF7FC3">
        <w:rPr>
          <w:rFonts w:ascii="Times New Roman" w:hAnsi="Times New Roman" w:cs="Times New Roman"/>
          <w:color w:val="000000"/>
          <w:sz w:val="28"/>
        </w:rPr>
        <w:t xml:space="preserve"> литературы</w:t>
      </w:r>
      <w:r>
        <w:rPr>
          <w:rFonts w:ascii="Times New Roman" w:hAnsi="Times New Roman" w:cs="Times New Roman"/>
          <w:color w:val="000000"/>
          <w:sz w:val="28"/>
        </w:rPr>
        <w:tab/>
      </w:r>
      <w:r w:rsidRPr="00DF7FC3">
        <w:rPr>
          <w:rFonts w:ascii="Times New Roman" w:hAnsi="Times New Roman" w:cs="Times New Roman"/>
          <w:color w:val="000000"/>
          <w:sz w:val="28"/>
        </w:rPr>
        <w:t xml:space="preserve"> …………………………...</w:t>
      </w:r>
      <w:r w:rsidRPr="00DF7FC3">
        <w:rPr>
          <w:rFonts w:ascii="Times New Roman" w:hAnsi="Times New Roman" w:cs="Times New Roman"/>
          <w:sz w:val="28"/>
        </w:rPr>
        <w:t>...</w:t>
      </w:r>
      <w:r>
        <w:rPr>
          <w:rFonts w:ascii="Times New Roman" w:hAnsi="Times New Roman" w:cs="Times New Roman"/>
          <w:sz w:val="28"/>
        </w:rPr>
        <w:t>.....................14</w:t>
      </w: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C3" w:rsidRDefault="00DF7FC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C3" w:rsidRDefault="00DF7FC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C3" w:rsidRDefault="00DF7FC3" w:rsidP="00DF7FC3">
      <w:pPr>
        <w:spacing w:after="0" w:line="211" w:lineRule="auto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157F4" w:rsidRDefault="001157F4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41" w:rsidRDefault="00926641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энергетики и энергетических отношений имеет сложный характер, поскольку энергия как ресурс, в том числе и природный, уже давно является не только средством для поддержания жизни государства и общества, а также протекающих процессов, но и также элементом для манипуляции на международной арене.</w:t>
      </w:r>
    </w:p>
    <w:p w:rsidR="00926641" w:rsidRDefault="00926641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Многовековая практика показала, что как правило государства с ра</w:t>
      </w:r>
      <w:r w:rsidR="001157F4">
        <w:rPr>
          <w:rFonts w:ascii="Times New Roman" w:hAnsi="Times New Roman" w:cs="Times New Roman"/>
          <w:sz w:val="28"/>
          <w:szCs w:val="28"/>
        </w:rPr>
        <w:t>звитыми энергетическими ресурсами и энергетической отраслью оказывают наибольшее геополитическое влияние на международной арене, а потому энергетический ресурс и связанные с ним отношения выступает инструментом для манипуляций одними государствами в отношении других для культурного, социального, экономического и иного влияния.</w:t>
      </w:r>
    </w:p>
    <w:p w:rsidR="001157F4" w:rsidRDefault="001157F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понятие энергетической безопасности имеет комплексный характер и включает в себя политическую, экономическую и техногенную энергобезопасность. В общем же понимании, данная категория раскрывается через понятие бесперебойного доступа участников рынка к ресурсам в сфере энергетики по доступной цене, а также невозможности манипуляции одними участниками рынка (в том числе на международном уровне) для извлечения политической, экономической и иной выгоды.</w:t>
      </w:r>
    </w:p>
    <w:p w:rsidR="001157F4" w:rsidRDefault="001157F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обеспечение безопасности в данной области является как никогда актуальным направлением многих стран мира, в том числе и Российской Федерации, поскольку раннее нерациональное использование энергетических ресурсов, в частности углеводородных источников привело к негативным последствиям, которые выражаются в ухудшении экологии на отдельно взятых территория России, и, как следствие, ухудшения общего уровня здоровья населения и качества жизни.</w:t>
      </w:r>
    </w:p>
    <w:p w:rsidR="00C01AE9" w:rsidRPr="000104B4" w:rsidRDefault="00C01AE9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Мировым сообществом уже давно обозначается необходимость постепенно отказа от традиционных энергетических ресурсов по типу угля, газа и нефти в пользу альтернативных и восстанавливаемых-вода, ветер, </w:t>
      </w:r>
      <w:r w:rsidRPr="000104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солнечная энергия и др., однако такие источники хоть и являются эффективными, всё же, не могут удовлетворить потребности в энергетическом потреблении населения и производств России. Об этой проблеме отмечалось, в частности, в Парижском соглашении 2015 год где было отмечено, что уровень выбросов углеродных газов в России 52% от уровня таких выбросов в 1990 году и по данному соглашению показатели к 2030 году показатели выбросов должны достичь не более 70% от базового года.</w:t>
      </w:r>
      <w:r w:rsidRPr="000104B4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</w:p>
    <w:p w:rsidR="00C01AE9" w:rsidRPr="000104B4" w:rsidRDefault="00C01AE9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4B4">
        <w:rPr>
          <w:rFonts w:ascii="Times New Roman" w:hAnsi="Times New Roman" w:cs="Times New Roman"/>
          <w:color w:val="000000" w:themeColor="text1"/>
          <w:sz w:val="28"/>
          <w:szCs w:val="28"/>
        </w:rPr>
        <w:t>В основном исследователи отмечают, что данное Соглашение может стать инструментом для политического влияния на экономику России, а потому Правительством Российской Федерации было принято решение о его принятии, избежав ратификации.</w:t>
      </w:r>
    </w:p>
    <w:p w:rsidR="000104B4" w:rsidRP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04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Именно поэтому энергетическая безопасность является одной из составляющей его системы национальной безопасности Российской Федерации, а потому принимаемые решения по поводу энергетической отрасли должны носить оправданный характер, поскольку данная область экономики является главенствующей и на ней основывается вся экономика государства в целом.</w:t>
      </w:r>
      <w:r w:rsidR="00726D18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"/>
      </w:r>
    </w:p>
    <w:p w:rsid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04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Проблема энергетической безопасности и формируемой политики по данным вопросам заключается в преимущественном акцентировании внимания на внешние угрозы национальной безопасности сферы энергетики, в то время как внутренним угрозам, имеющим не менее важное значение, оказывается меньшая доля внимания, что подтверждается и сравнительно малым количество научных исследований по данной теме.</w:t>
      </w:r>
    </w:p>
    <w:p w:rsidR="000104B4" w:rsidRDefault="000104B4" w:rsidP="001157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104B4" w:rsidRPr="000104B4" w:rsidRDefault="000104B4" w:rsidP="00726D1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6641" w:rsidRPr="000104B4" w:rsidRDefault="000104B4" w:rsidP="000104B4">
      <w:pPr>
        <w:spacing w:after="0" w:line="211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1. </w:t>
      </w:r>
      <w:r w:rsidRPr="000104B4">
        <w:rPr>
          <w:rFonts w:ascii="Times New Roman" w:hAnsi="Times New Roman" w:cs="Times New Roman"/>
          <w:b/>
          <w:sz w:val="28"/>
          <w:szCs w:val="28"/>
        </w:rPr>
        <w:t>Сущность энергетической безопасности</w:t>
      </w:r>
    </w:p>
    <w:p w:rsidR="00926641" w:rsidRDefault="009266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104B4" w:rsidRDefault="000104B4" w:rsidP="000104B4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04B4" w:rsidRPr="009B1871" w:rsidRDefault="000104B4" w:rsidP="00BC44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Доктриной об энергетической безопасности, утверждённой президентом Российской Федерации 13 мая 2019 года под энергетической безопасностью понимается такое состояние национальной защищённости России в сфере энергетики</w:t>
      </w:r>
      <w:r w:rsidR="00BC440E"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, в частности экономики и населения страны, при котором обеспечиваются в полной мере частные и публичные интересы потребителей энергоснабжения, а также реализуются обязательства в данной области отношений по выполнению внутренних и международных контрактных обязательств Российской Федерации.</w:t>
      </w:r>
      <w:r w:rsidR="00BC440E" w:rsidRPr="009B1871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</w:p>
    <w:p w:rsidR="00BC440E" w:rsidRPr="009B1871" w:rsidRDefault="00BC440E" w:rsidP="00BC44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 под угрозой энергетической безопасности понимается такая совокупность условий и факторов внешнего, а также внутреннего характера, которые создают потенциальную возможность наступления неблагоприятных последствий, в том числе ущерба области энергетики Российской Федерации.</w:t>
      </w:r>
    </w:p>
    <w:p w:rsidR="00BC440E" w:rsidRPr="009B1871" w:rsidRDefault="00BC440E" w:rsidP="00581D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Не стоит при этом путать категорию угрозы с вызовом или риском, поскольку под вызовом в узком смысле понимается новые стимулы для развития энергетики, а риск-возможность перехода вызова в угрозу.</w:t>
      </w:r>
    </w:p>
    <w:p w:rsidR="005A4784" w:rsidRPr="009B1871" w:rsidRDefault="00BC440E" w:rsidP="00581D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анализируемой доктриной</w:t>
      </w:r>
      <w:r w:rsidR="005A4784"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, внутренними угрозами энергетической безопасности России на современном этапе и вплоть до 2030 года являются следующие условия и факторы:</w:t>
      </w:r>
    </w:p>
    <w:p w:rsidR="005A4784" w:rsidRPr="009B1871" w:rsidRDefault="005A4784" w:rsidP="00581D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Энергетический дефицит, а в некоторых случаях избыток мощностей в сфере энергетики, в связи с чем топливно-энергетический комплекс не отвечает требованиям и запросам социально-экономического развития институтов и структур России;</w:t>
      </w:r>
    </w:p>
    <w:p w:rsidR="005A4784" w:rsidRPr="009B1871" w:rsidRDefault="005A4784" w:rsidP="00581D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Кадровый голод в сфере энергетики, в том числе недостаточная заполненность высококвалифицированными кадрами организаций, осуществляющих деятельность в сфере энергетики;</w:t>
      </w:r>
    </w:p>
    <w:p w:rsidR="005A4784" w:rsidRPr="009B1871" w:rsidRDefault="005A4784" w:rsidP="008C3F5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Снижение общего уровня качества энергетического сырья и ресурсов, вызванное в частности нерациональным и неэффективным их изъятием и переработкой, и, как следствие, выразившееся в быстром истощении месторождений полезных ископаемых, а также снижения количественных и качественных показателей энергетического сырья в подобных открытых и закрытых месторождениях;</w:t>
      </w:r>
    </w:p>
    <w:p w:rsidR="00581D42" w:rsidRPr="009B1871" w:rsidRDefault="005A4784" w:rsidP="008C3F5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Рост количества правонарушений в сфере энергетики, в том числе трудовых отношений в части организации охраны труда работников топливно-энергетического комплекса</w:t>
      </w:r>
      <w:r w:rsidR="00581D42"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организации места работы;</w:t>
      </w:r>
    </w:p>
    <w:p w:rsidR="00581D42" w:rsidRPr="009B1871" w:rsidRDefault="00581D42" w:rsidP="008C3F5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Рост количества уголовных преступлений и административных правонарушений в области энергетики, выражающийся в совершении правонарушений по хищению ресурсов и имущества, производства контрафактной продукции, избежание от налоговых платежей и иных сборов, а также коррупции на различных уровнях.</w:t>
      </w:r>
    </w:p>
    <w:p w:rsidR="008C3F5A" w:rsidRPr="009B1871" w:rsidRDefault="008C3F5A" w:rsidP="008C3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Помимо этого по нашему мнению кроме внутренних и внешних угроз энергетической безопасности можно выделить и трансграничные угрозы, в содержание которых будут включаться как внутренние, так и внешний факторы и условия возможного негативного влияния. К данной группе, в частности, можно отнести диверсионную деятельность, направленную на уничтожение или повреждение инфраструктуры энергетического комплекса, а также подобные действия в отношении путей поставки ресурсов, их транспортировки и места добычи.</w:t>
      </w:r>
    </w:p>
    <w:p w:rsidR="008C3F5A" w:rsidRPr="009B1871" w:rsidRDefault="008C3F5A" w:rsidP="009B18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Также в трансграничные угрозы энергетической безопасности целесообразно отнести компьютерные атаки на объекты и организации в сфере энергетики для нарушения их функционирования. Использование информационных, электронных, компьютерных и цифровых технологий в сфере энергетики не является редкостью и несмотря на достаточный уровень цифровой и технической безопасности, всё же такие угрозы имеют место быть.</w:t>
      </w:r>
    </w:p>
    <w:p w:rsidR="009B1871" w:rsidRPr="009B1871" w:rsidRDefault="008C3F5A" w:rsidP="009B18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Кроме того, не исключается возможность неблагоприятного воздействия природного характера в связи с опасными природными явлениями, которые могут оказать влияние на функционирование объектов топливно-энергетического комплекса, а также сказаться на энергетической безопасности Российской Федерации.</w:t>
      </w:r>
    </w:p>
    <w:p w:rsidR="009B1871" w:rsidRPr="00357C01" w:rsidRDefault="009B1871" w:rsidP="00357C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Правительства Российской Федерации </w:t>
      </w:r>
      <w:r w:rsidRPr="009B187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 утверждении Энергетической стратегии Российской Федерации на период до 2035 года</w:t>
      </w:r>
      <w:r w:rsidRPr="009B187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7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устанавливается более обширные перечень внешних угроз для энергетики России: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Замедление темпов роста и изменение структуры потребления энергетических ресурсов;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цены на углеродные энергетические ресурсы;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357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едостаточный для инновационного развития текущий и перспективный объем спроса на внутреннем рынке на основные виды продукции российского топливно-энергетического комплекса, обостряющий зависимость от объема спроса и конъюнктуры мировых рынков традиционных энергетических ресурсов;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Критическая зависимость энергетического рынка России от технологий  и программного обеспечения иностранных государств;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Дефицит инвестиционных ресурсов;</w:t>
      </w:r>
    </w:p>
    <w:p w:rsidR="009B1871" w:rsidRPr="00357C01" w:rsidRDefault="009B1871" w:rsidP="00357C0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Обременение на рынке энергопотребления и снижение общего уровня потребления энергетических ресурсов со стор</w:t>
      </w:r>
      <w:r w:rsidR="004C3D4D"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оны потребителей на этом уровне.</w:t>
      </w:r>
      <w:r w:rsidRPr="00357C01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</w:p>
    <w:p w:rsidR="004C3D4D" w:rsidRDefault="004C3D4D" w:rsidP="00357C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на основе анализа Доктрины  и Распоряжения Правительства, отражающих современную энергетическую политику по обеспечению энергетической безопасности в Российской Федерации можно прийти к выводу, что акцентируется внимание на фактическом разрыве реальных потребностей рынка потребления </w:t>
      </w:r>
      <w:r w:rsidR="00357C01"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производимыми </w:t>
      </w:r>
      <w:r w:rsidR="00357C01"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энергоресурсами, что в некоторых случаях вызывает дефицит, а в некоторых случаях избыток того или иного ресурса, что в обоих случаях является негативным явлением для экономики государства. Кроме того отмечается низкий уровень технологического и цифрового развития организаций в сфере энергетики, а также их зависимость от технологий, техники, оборудования и программного обеспечения иностранных государств.</w:t>
      </w:r>
    </w:p>
    <w:p w:rsidR="00357C01" w:rsidRDefault="00357C01" w:rsidP="00357C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C01" w:rsidRDefault="00357C01" w:rsidP="00357C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Научное сообщество о внутренних угрозах энергетической безопасности Российской Федерации</w:t>
      </w:r>
    </w:p>
    <w:p w:rsidR="00204D45" w:rsidRDefault="00204D45" w:rsidP="00357C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4D45" w:rsidRDefault="00204D45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 очевидно, что данному вопросу были посвящена труды учёных, исследователей в сфере экономики и политики, в связи с чем помимо официальных положений, которые нашли отражение в упомянутых нормативно-правовых актах, были разработаны и иные группы угроз энергетической безопасности по отношению к России.</w:t>
      </w:r>
    </w:p>
    <w:p w:rsidR="00204D45" w:rsidRDefault="00204D45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Шпак А.С. и Николаева Л.В. в своем исследовании отмечают, что реальной угрозой внутреннего характера также является высокая энергоёмкость производства энергетических ресурсов, в связи с чем отечественный производитель продукции в сравнении с импортными организациями топливно-энергетического комплекса является неконкурентоспособным. Особенно это проявляется на обрабатывающих и добывающих производствах, в связи с чем более выгодно отправить сырьё, в частности нефть в иностранное государств для его переработки или </w:t>
      </w:r>
      <w:r w:rsidR="00A30E4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готового продукта (масел,</w:t>
      </w:r>
      <w:r w:rsidR="00A3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бензина, растворителей, электроизоляционных сред и иных нефтехимических продуктов), что также сказывается на конечной стоимости для потребителя импортной продукции, хоть и созданной на основе российского сырья.</w:t>
      </w:r>
      <w:r w:rsidR="00B408A0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</w:p>
    <w:p w:rsidR="00A30E42" w:rsidRDefault="00A30E42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авторами в качестве актуальных угроз до 2030 года отмечается и низкая энергоэффективность, вызванная износом оборудования и инфраструктуры энергетического комплекса, что и выражается в потери электроэнергии.</w:t>
      </w:r>
    </w:p>
    <w:p w:rsidR="00B408A0" w:rsidRDefault="00A30E42" w:rsidP="00B408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Физический и моральный износ инфраструктуры также подтверждается исследователем Ходько А.С.,  что по итогу выражается как в снижении качества энергии, так и к удорожанию продукции, которую получает итоговый потребитель. Отмечается в </w:t>
      </w:r>
      <w:r w:rsidR="00B408A0">
        <w:rPr>
          <w:rFonts w:ascii="Times New Roman" w:hAnsi="Times New Roman" w:cs="Times New Roman"/>
          <w:color w:val="000000" w:themeColor="text1"/>
          <w:sz w:val="28"/>
          <w:szCs w:val="28"/>
        </w:rPr>
        <w:t>качестве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угрозы автором и высокий уровень небезопасной эксплуатации.</w:t>
      </w:r>
    </w:p>
    <w:p w:rsidR="00A30E42" w:rsidRDefault="00A30E42" w:rsidP="00B408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Нельзя не согласиться с положениями, которые выносят упомянутые авторы и это подтверждается, в частности, недавним случаем обрушения шахты «Юбилейная» 14 февраля в Кузбассе и задымлением шахты «Листвяжная» в Кемеровской области 25 ноября этого года. Мало того, что такие угрозы несут в себя реальные жертвы со стороны людей, а также финансово-материальный ущерб, это также сказывается на длительной консервации подобных мест вплоть до устранения всех сопутствующих недостатков.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частности, 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>шахт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«Юбилейная»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>, обрушившаяся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февраля</w:t>
      </w:r>
      <w:r w:rsidR="00B2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восстановила полностью свою работу лишь через несколько месяцев.</w:t>
      </w:r>
      <w:r w:rsidR="00B2305C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</w:p>
    <w:p w:rsidR="00B2305C" w:rsidRDefault="00B2305C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на 2021 год было зарегистрировано 13 ЧП и аварий только в шахтах, а в 2020 году такие показатели достигли 7 случаям, что говорит о неутешительной возрастающей статистике и реальной угрозы физического и морального износа оборудования, а также инфраструктуры основных энергетических комплексов. </w:t>
      </w:r>
    </w:p>
    <w:p w:rsidR="0010048D" w:rsidRDefault="0010048D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Помимо этого в качестве внешней угрозы Ходько А.С. отмечает и научно-техническую недостаточность, а содержание данной угрозы основывается на низком уровне национальной компетенции в сфере науки, а также технического и технологического обслуживания оборудования, программ и систем в сфере энергетики.</w:t>
      </w:r>
    </w:p>
    <w:p w:rsidR="0010048D" w:rsidRDefault="00553853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Научно-техническая недостаточность и слаборазвитые национальные технологии в частности обуславливают по нашему мнению невозможность применения на практике возобновляемых источников энергии в энергетическом комплексе Российской Федерации, при этом география, климат и энергетические ресурсы России действительно позволяют использовать природные альтернативные ресурсы в качестве замены и постепенного отхода от углеродных и торфяных видов сырья в пользу экологичного и действительно экономичного  вида энергетического ресурса.</w:t>
      </w:r>
    </w:p>
    <w:p w:rsidR="006E2564" w:rsidRDefault="00553853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 возобновляемые источники энергии позволяют удовлетворить потребности в повсеместной распределённости по территории России, что делает данный вид энергии потенциальным для развития его на территории России, однако угроза научно-технической недостаточности нивелирует такие потенциалы и векторы развития по крайней мере на современном этапе и в ближайшее десятилетие.</w:t>
      </w:r>
    </w:p>
    <w:p w:rsidR="0010048D" w:rsidRDefault="006E2564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Другие учёные, в частности Воропай Н.И. и Сендеров С.М. в своих научных трудах и исследованиях вопроса энергетической безопасности отмечают, что внутренними угрозами являются и более локальные условия и факторы, в частности «запертость» региона Сибири и её избыточных ресурсов</w:t>
      </w:r>
      <w:r w:rsidR="003059C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доминирующая роль природного газа на рынке энергопотребления преимущественно в субъектах федерации европейской части России.</w:t>
      </w:r>
    </w:p>
    <w:p w:rsidR="003059CF" w:rsidRDefault="003059CF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Действительно, в последнем случае отмечается нерациональная структура, которая выражается в дисбалансе энергопотребления. Так, только на Урале и европейской части России, в которых проживают почти 90% всех жителей России, используется газ с явным перекосом, а в целом рынок газопотребления в России составляет 65%.</w:t>
      </w:r>
      <w:r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</w:p>
    <w:p w:rsidR="003059CF" w:rsidRPr="00C52A39" w:rsidRDefault="003059CF" w:rsidP="00C52A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Европейские районы потребляют газ в соотношении с иными видами энергоресурсов в большей мере, где в отдельных субъектах уровень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потребления начинается от 75% вплоть до 95-99%. В целом отмечается критическая зависимость центральных и европейских регионов России от природного газа, при этом общий уровень газодобычи снижается, что в скором времени может выразиться в дефиците данного вида энергетического </w:t>
      </w:r>
      <w:r w:rsidRPr="00C52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ресурса или повышении тарифов и цен на него. Данная проблема проявляется также и в том, что зависимость европейской части России от газа опосредует сосредоточение большей части данного вида ресурсов и инфраструктуры газовой промышленности для данных регионов, в то время как это сказывается на </w:t>
      </w:r>
      <w:r w:rsidRPr="00C52A39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своевременности неизбежного чрезвычайно дорогостоящего выхода в новые недостаточно</w:t>
      </w:r>
      <w:r w:rsidRPr="00C52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освоенные и разведанные районы России.</w:t>
      </w:r>
      <w:r w:rsidR="00726D18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</w:p>
    <w:p w:rsidR="00C52A39" w:rsidRPr="00C52A39" w:rsidRDefault="00C52A39" w:rsidP="00C52A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39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Воропай Н.И</w:t>
      </w:r>
      <w:r w:rsidRPr="00C52A39">
        <w:rPr>
          <w:rFonts w:ascii="Times New Roman" w:hAnsi="Times New Roman" w:cs="Times New Roman"/>
          <w:sz w:val="28"/>
          <w:szCs w:val="28"/>
        </w:rPr>
        <w:t xml:space="preserve"> также подтверждает ранее упомянутые исследования и точки зрения иных авторов относительно внутренней угрозы в истощении месторождений, в частности природного газа. Отмечается, что разработка новых газовых месторождений на территории Ямала и шельфа северных морей неизбежно, однако прокладка линий газовых магистралей до европейской части России, а также к границам стран Центральной и Восточной Европы составит ориентировочно  </w:t>
      </w:r>
      <w:r w:rsidRPr="00C52A39">
        <w:rPr>
          <w:rFonts w:ascii="Times New Roman" w:hAnsi="Times New Roman" w:cs="Times New Roman"/>
          <w:sz w:val="28"/>
          <w:szCs w:val="28"/>
        </w:rPr>
        <w:t>не менее 300 долл./тыс. куб. м.</w:t>
      </w:r>
    </w:p>
    <w:p w:rsidR="00C52A39" w:rsidRPr="00C52A39" w:rsidRDefault="00C52A39" w:rsidP="00C52A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39">
        <w:rPr>
          <w:rFonts w:ascii="Times New Roman" w:hAnsi="Times New Roman" w:cs="Times New Roman"/>
          <w:sz w:val="28"/>
          <w:szCs w:val="28"/>
        </w:rPr>
        <w:t>В свою очередь отметим, что такие затраты</w:t>
      </w:r>
      <w:r w:rsidRPr="00C52A39">
        <w:rPr>
          <w:rFonts w:ascii="Times New Roman" w:hAnsi="Times New Roman" w:cs="Times New Roman"/>
          <w:sz w:val="28"/>
          <w:szCs w:val="28"/>
        </w:rPr>
        <w:t xml:space="preserve"> могут оказаться слишком близки к ожидае</w:t>
      </w:r>
      <w:r w:rsidRPr="00C52A39">
        <w:rPr>
          <w:rFonts w:ascii="Times New Roman" w:hAnsi="Times New Roman" w:cs="Times New Roman"/>
          <w:sz w:val="28"/>
          <w:szCs w:val="28"/>
        </w:rPr>
        <w:t xml:space="preserve">мому уровню цен на газ в Европе, а длительность разработки и организации месторождения, а также иных инфраструктур может занять несколько лет вплоть до десятилетия. Однако и долгое ожидание и неоперативное освоение газовых месторождений Ямало-Ненецкого округа может значительно выразиться на достижении ориентиров, поставленных Энергетической стратегий России на 2030 и 2035 годы. </w:t>
      </w:r>
    </w:p>
    <w:p w:rsidR="0010048D" w:rsidRDefault="0010048D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564" w:rsidRDefault="006E2564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564" w:rsidRDefault="006E2564" w:rsidP="00204D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564" w:rsidRDefault="00C52A39" w:rsidP="00C52A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2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C52A39" w:rsidRPr="00C52A39" w:rsidRDefault="00C52A39" w:rsidP="00C52A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2A39" w:rsidRDefault="00C52A39" w:rsidP="00C52A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в ходе работы мы отметили, что </w:t>
      </w:r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под угрозой энергетической безопасности понимается такая совокупность у</w:t>
      </w:r>
      <w:bookmarkStart w:id="0" w:name="_GoBack"/>
      <w:bookmarkEnd w:id="0"/>
      <w:r w:rsidRPr="009B1871">
        <w:rPr>
          <w:rFonts w:ascii="Times New Roman" w:hAnsi="Times New Roman" w:cs="Times New Roman"/>
          <w:color w:val="000000" w:themeColor="text1"/>
          <w:sz w:val="28"/>
          <w:szCs w:val="28"/>
        </w:rPr>
        <w:t>словий и факторов внешнего, а также внутреннего характера, которые создают потенциальную возможность наступления неблагоприятных последствий, в том числе ущерба области энергетики Российской Федерации.</w:t>
      </w:r>
    </w:p>
    <w:p w:rsidR="00C603AF" w:rsidRDefault="00C603AF" w:rsidP="00C603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работе были рассмотрены исключительно внутренние угрозы энергетической безопасности, поскольку им в научной литературе, а также самим законодателем посвящено меньше внимания, нежели внешним угрозам. Принято считать, что основная угроза в энергетике- это политическое влияние международных организаций, а также отдельных иностранных государств для влияния на социально-экономические институты другого государства, что в действительности хоть и имеет место быть на практике, всё же отодвигает не менее важные угрозы национальной безопасности в сфере энергетики внутреннего характера.</w:t>
      </w:r>
    </w:p>
    <w:p w:rsidR="00C603AF" w:rsidRDefault="00C603AF" w:rsidP="00C603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мы отметили, что в основном авторы сходятся на следующих внутренних угрозах:</w:t>
      </w:r>
    </w:p>
    <w:p w:rsidR="00C603AF" w:rsidRPr="00357C01" w:rsidRDefault="00C603AF" w:rsidP="00C603AF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Замедление темпов роста и изменение структуры потребления энергетических ресурсов;</w:t>
      </w:r>
    </w:p>
    <w:p w:rsidR="00C603AF" w:rsidRPr="00357C01" w:rsidRDefault="00C603AF" w:rsidP="00C603AF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цены на углеродные энергетические ресурсы;</w:t>
      </w:r>
    </w:p>
    <w:p w:rsidR="00C603AF" w:rsidRPr="00357C01" w:rsidRDefault="00C603AF" w:rsidP="00C603AF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Недостаточный для инновационного развития текущий и перспективный объем спроса на внутреннем рынке на основные виды продукции российского топливно-энергетического комплекса, обостряющий зависимость от объема спроса и конъюнктуры мировых рынков традиционных энергетических ресурсов;</w:t>
      </w:r>
    </w:p>
    <w:p w:rsidR="00C603AF" w:rsidRPr="00357C01" w:rsidRDefault="00C603AF" w:rsidP="00C603AF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Критическая зависимость энергетического рынка России от технологий  и программного обеспечения иностранных государств;</w:t>
      </w:r>
    </w:p>
    <w:p w:rsidR="00C603AF" w:rsidRPr="00357C01" w:rsidRDefault="00C603AF" w:rsidP="00C603AF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t>Дефицит инвестиционных ресурсов;</w:t>
      </w:r>
    </w:p>
    <w:p w:rsidR="00C603AF" w:rsidRDefault="00C603AF" w:rsidP="00C603AF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Обременение на рынке энергопотребления и снижение общего уровня потребления энергетических ресурсов со стороны потребителей на этом уровне.</w:t>
      </w:r>
    </w:p>
    <w:p w:rsidR="006E2564" w:rsidRDefault="00C603AF" w:rsidP="00C603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также было отмечено, что в некоторых случаях авторы исследований используют исключительно традиционные и наиболее частовстречаемые на практике угрозы, в то время как необходимо исследовать также и локальные проблемы Центральной, Европейской и Сибирской части России в части их  зависимости от преимущественно одного вида энергетического ресурса, что как следствие, негативно влияет на скорость развития энергетического комплекса и инфраструктур в других частях России, а также негативно сказывается на формируемой цене на рынке энергопотребления.</w:t>
      </w:r>
    </w:p>
    <w:p w:rsidR="00726D18" w:rsidRDefault="00C603AF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Именно поэтому мы делаем вывод о том, что для формирования действительно эффективной политики Российской Федерации в области энергетической безопасности необходимо не только долгосрочное, но и локальное прогнозирование, планирование и проектирование энергетических угроз, рисков и возможностей.</w:t>
      </w: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C3" w:rsidRDefault="00DF7FC3" w:rsidP="00DF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3AF" w:rsidRPr="00C603AF" w:rsidRDefault="00C603AF" w:rsidP="00C603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AF">
        <w:rPr>
          <w:rFonts w:ascii="Times New Roman" w:hAnsi="Times New Roman" w:cs="Times New Roman"/>
          <w:b/>
          <w:sz w:val="28"/>
          <w:szCs w:val="28"/>
        </w:rPr>
        <w:lastRenderedPageBreak/>
        <w:t>Список реферируемой литературы</w:t>
      </w: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726D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3AF" w:rsidRPr="00726D18" w:rsidRDefault="00C603AF" w:rsidP="00726D1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Воропай Н.И., Сендеров С.М.</w:t>
      </w:r>
      <w:r w:rsidRPr="00726D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Энергетическая безопасность: сущность, основные проблемы, методы и результаты исследований. Институт народнохозяйственного прогнозирования РАН.</w:t>
      </w:r>
      <w:r w:rsidR="00726D18" w:rsidRPr="00726D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726D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2011.</w:t>
      </w:r>
      <w:r w:rsidR="00726D18" w:rsidRPr="00726D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726D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С.91.</w:t>
      </w:r>
    </w:p>
    <w:p w:rsidR="00726D18" w:rsidRPr="00726D18" w:rsidRDefault="00726D18" w:rsidP="00726D18">
      <w:pPr>
        <w:pStyle w:val="1"/>
        <w:numPr>
          <w:ilvl w:val="0"/>
          <w:numId w:val="11"/>
        </w:numPr>
        <w:spacing w:before="0" w:line="360" w:lineRule="auto"/>
        <w:ind w:left="0" w:firstLine="0"/>
        <w:jc w:val="both"/>
        <w:textAlignment w:val="top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Гадзацев К.В. </w:t>
      </w:r>
      <w:r w:rsidRPr="00726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Вызовы и угрозы энергетической безопасности России</w:t>
      </w:r>
      <w:r w:rsidRPr="00726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 xml:space="preserve"> // </w:t>
      </w:r>
      <w:hyperlink r:id="rId10" w:history="1">
        <w:r w:rsidRPr="00726D18">
          <w:rPr>
            <w:rStyle w:val="a5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Век глобализации</w:t>
        </w:r>
      </w:hyperlink>
      <w:r w:rsidRPr="00726D1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.-2020.- С. 126-134.</w:t>
      </w:r>
    </w:p>
    <w:p w:rsidR="00726D18" w:rsidRPr="00726D18" w:rsidRDefault="00726D18" w:rsidP="00726D1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color w:val="000000" w:themeColor="text1"/>
          <w:sz w:val="24"/>
          <w:szCs w:val="24"/>
        </w:rPr>
        <w:t>Ергин Д. Гарантировать энергетическую безопасность // Россия в глобальной политике. — 2014. — Т. 4. — №1. — С. 51–62.</w:t>
      </w:r>
    </w:p>
    <w:p w:rsidR="00726D18" w:rsidRPr="00726D18" w:rsidRDefault="00726D18" w:rsidP="00726D18">
      <w:pPr>
        <w:pStyle w:val="1"/>
        <w:numPr>
          <w:ilvl w:val="0"/>
          <w:numId w:val="11"/>
        </w:numPr>
        <w:spacing w:before="0" w:line="360" w:lineRule="auto"/>
        <w:ind w:left="0" w:firstLine="0"/>
        <w:jc w:val="both"/>
        <w:textAlignment w:val="top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Карпов В.В. </w:t>
      </w:r>
      <w:r w:rsidRPr="00726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Определение и угрозы энергетической безопасности</w:t>
      </w:r>
      <w:r w:rsidRPr="00726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 xml:space="preserve">  // </w:t>
      </w:r>
      <w:hyperlink r:id="rId11" w:history="1">
        <w:r w:rsidRPr="00726D18">
          <w:rPr>
            <w:rStyle w:val="a5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Вестник Омского университета. Серия «Экономика»</w:t>
        </w:r>
      </w:hyperlink>
      <w:r w:rsidRPr="00726D1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.-2016.-  С. 30-38.</w:t>
      </w:r>
    </w:p>
    <w:p w:rsidR="00726D18" w:rsidRPr="00726D18" w:rsidRDefault="00726D18" w:rsidP="00726D1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color w:val="000000" w:themeColor="text1"/>
          <w:sz w:val="24"/>
          <w:szCs w:val="24"/>
        </w:rPr>
        <w:t>Кондраков О.В. Определение пороговых значений индикаторов энергетической безопасности // Вестник Тамбовского государственного университета. Серия: Гуманитарные науки. — 2014. — №9 (125). — С. 64–70.</w:t>
      </w:r>
    </w:p>
    <w:p w:rsidR="00726D18" w:rsidRPr="00726D18" w:rsidRDefault="00726D18" w:rsidP="00726D1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color w:val="000000" w:themeColor="text1"/>
          <w:sz w:val="24"/>
          <w:szCs w:val="24"/>
        </w:rPr>
        <w:t>Кораблева А. А. Угрозы экономической безопасности региона: терминологический и методический аспекты // Двадцатые апрельские экономические чтения : материалы междунар. науч.-практ. конф. / под ред. В. В. Карпова, А. И. Ковалева. - Омск, 2014. - С. 313-316.</w:t>
      </w:r>
    </w:p>
    <w:p w:rsidR="00726D18" w:rsidRPr="00726D18" w:rsidRDefault="00726D18" w:rsidP="00726D1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color w:val="000000" w:themeColor="text1"/>
          <w:sz w:val="24"/>
          <w:szCs w:val="24"/>
        </w:rPr>
        <w:t>Котов Р. В., Садыртдинов Р. Р. Вызовы энергетической безопасности современной России в условиях необходимости энергоэффективного развития экономики // Фундаментальные исследования. - 2013. - № 10-3. - С. 632-635.</w:t>
      </w:r>
    </w:p>
    <w:p w:rsidR="00726D18" w:rsidRPr="00726D18" w:rsidRDefault="00726D18" w:rsidP="00726D1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Style w:val="nowrap"/>
          <w:rFonts w:ascii="Times New Roman" w:hAnsi="Times New Roman" w:cs="Times New Roman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</w:t>
      </w:r>
      <w:r w:rsidRPr="00726D18">
        <w:rPr>
          <w:rStyle w:val="citation"/>
          <w:rFonts w:ascii="Times New Roman" w:hAnsi="Times New Roman" w:cs="Times New Roman"/>
          <w:iCs/>
          <w:color w:val="000000" w:themeColor="text1"/>
          <w:sz w:val="24"/>
          <w:szCs w:val="24"/>
        </w:rPr>
        <w:t>Санникова И. Н.</w:t>
      </w:r>
      <w:r w:rsidRPr="00726D18">
        <w:rPr>
          <w:rStyle w:val="citation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26D18">
        <w:rPr>
          <w:rStyle w:val="citation"/>
          <w:rFonts w:ascii="Times New Roman" w:hAnsi="Times New Roman" w:cs="Times New Roman"/>
          <w:color w:val="000000" w:themeColor="text1"/>
          <w:sz w:val="24"/>
          <w:szCs w:val="24"/>
        </w:rPr>
        <w:t>Анализ энергетической безопасности России</w:t>
      </w:r>
      <w:r w:rsidRPr="00726D18">
        <w:rPr>
          <w:rStyle w:val="citation"/>
          <w:rFonts w:ascii="Times New Roman" w:hAnsi="Times New Roman" w:cs="Times New Roman"/>
          <w:color w:val="000000" w:themeColor="text1"/>
          <w:sz w:val="24"/>
          <w:szCs w:val="24"/>
        </w:rPr>
        <w:t> // Экономика. Профессия. Бизнес. — 2017. — </w:t>
      </w:r>
      <w:r w:rsidRPr="00726D18">
        <w:rPr>
          <w:rStyle w:val="nowrap"/>
          <w:rFonts w:ascii="Times New Roman" w:hAnsi="Times New Roman" w:cs="Times New Roman"/>
          <w:color w:val="000000" w:themeColor="text1"/>
          <w:sz w:val="24"/>
          <w:szCs w:val="24"/>
        </w:rPr>
        <w:t>№ 3</w:t>
      </w:r>
      <w:r w:rsidRPr="00726D18">
        <w:rPr>
          <w:rStyle w:val="citation"/>
          <w:rFonts w:ascii="Times New Roman" w:hAnsi="Times New Roman" w:cs="Times New Roman"/>
          <w:color w:val="000000" w:themeColor="text1"/>
          <w:sz w:val="24"/>
          <w:szCs w:val="24"/>
        </w:rPr>
        <w:t>. — </w:t>
      </w:r>
      <w:r w:rsidRPr="00726D18">
        <w:rPr>
          <w:rStyle w:val="nowrap"/>
          <w:rFonts w:ascii="Times New Roman" w:hAnsi="Times New Roman" w:cs="Times New Roman"/>
          <w:color w:val="000000" w:themeColor="text1"/>
          <w:sz w:val="24"/>
          <w:szCs w:val="24"/>
        </w:rPr>
        <w:t>С. 65—70</w:t>
      </w:r>
      <w:r w:rsidRPr="00726D18">
        <w:rPr>
          <w:rStyle w:val="nowrap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6D18" w:rsidRPr="00726D18" w:rsidRDefault="00726D18" w:rsidP="00726D1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color w:val="000000" w:themeColor="text1"/>
          <w:sz w:val="24"/>
          <w:szCs w:val="24"/>
        </w:rPr>
        <w:t>Темирова З. А. Энергетическая безопасность как фактор устойчивого экономического развития // Экономика и управление в XXI веке: тенденции развития. - 2012. - № 7. - С. 142-146.</w:t>
      </w:r>
    </w:p>
    <w:p w:rsidR="00C603AF" w:rsidRPr="00726D18" w:rsidRDefault="00C603AF" w:rsidP="00726D1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Шпак А.С., Николаева Л.В. </w:t>
      </w:r>
      <w:r w:rsidRPr="00726D18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Внешние и внутренние угрозы энергетической безопасности российской Федерации на современном этапе // </w:t>
      </w:r>
      <w:r w:rsidRPr="00726D1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Наука без границ</w:t>
      </w:r>
      <w:r w:rsidRPr="00726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2018 г. </w:t>
      </w:r>
    </w:p>
    <w:p w:rsidR="005A4784" w:rsidRPr="00C603AF" w:rsidRDefault="005A4784" w:rsidP="00726D1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84" w:rsidRDefault="005A4784" w:rsidP="005A4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4784" w:rsidSect="0010048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93" w:rsidRDefault="00AD3B93" w:rsidP="00C01AE9">
      <w:pPr>
        <w:spacing w:after="0" w:line="240" w:lineRule="auto"/>
      </w:pPr>
      <w:r>
        <w:separator/>
      </w:r>
    </w:p>
  </w:endnote>
  <w:endnote w:type="continuationSeparator" w:id="0">
    <w:p w:rsidR="00AD3B93" w:rsidRDefault="00AD3B93" w:rsidP="00C0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93" w:rsidRDefault="00AD3B93" w:rsidP="00C01AE9">
      <w:pPr>
        <w:spacing w:after="0" w:line="240" w:lineRule="auto"/>
      </w:pPr>
      <w:r>
        <w:separator/>
      </w:r>
    </w:p>
  </w:footnote>
  <w:footnote w:type="continuationSeparator" w:id="0">
    <w:p w:rsidR="00AD3B93" w:rsidRDefault="00AD3B93" w:rsidP="00C01AE9">
      <w:pPr>
        <w:spacing w:after="0" w:line="240" w:lineRule="auto"/>
      </w:pPr>
      <w:r>
        <w:continuationSeparator/>
      </w:r>
    </w:p>
  </w:footnote>
  <w:footnote w:id="1">
    <w:p w:rsidR="00C01AE9" w:rsidRPr="00726D18" w:rsidRDefault="00C01AE9" w:rsidP="00C01AE9">
      <w:pPr>
        <w:pStyle w:val="a9"/>
        <w:jc w:val="both"/>
        <w:rPr>
          <w:rFonts w:ascii="Times New Roman" w:hAnsi="Times New Roman" w:cs="Times New Roman"/>
        </w:rPr>
      </w:pPr>
      <w:r w:rsidRPr="00C01AE9">
        <w:rPr>
          <w:rStyle w:val="ab"/>
          <w:rFonts w:ascii="Times New Roman" w:hAnsi="Times New Roman" w:cs="Times New Roman"/>
        </w:rPr>
        <w:footnoteRef/>
      </w:r>
      <w:r w:rsidRPr="00C01AE9">
        <w:rPr>
          <w:rFonts w:ascii="Times New Roman" w:hAnsi="Times New Roman" w:cs="Times New Roman"/>
        </w:rPr>
        <w:t xml:space="preserve"> </w:t>
      </w:r>
      <w:r w:rsidRPr="00726D18">
        <w:rPr>
          <w:rFonts w:ascii="Times New Roman" w:hAnsi="Times New Roman" w:cs="Times New Roman"/>
        </w:rPr>
        <w:t xml:space="preserve">Парижское соглашение (принято 22 апреля 2016 года в г. Нью-Йорке). Доступ </w:t>
      </w:r>
      <w:r w:rsidRPr="00726D18">
        <w:rPr>
          <w:rFonts w:ascii="Times New Roman" w:hAnsi="Times New Roman" w:cs="Times New Roman"/>
          <w:lang w:val="en-US"/>
        </w:rPr>
        <w:t>URL</w:t>
      </w:r>
      <w:r w:rsidRPr="00726D18">
        <w:rPr>
          <w:rFonts w:ascii="Times New Roman" w:hAnsi="Times New Roman" w:cs="Times New Roman"/>
        </w:rPr>
        <w:t>: https://unfccc.int/files/meetings/paris_nov_2015/application/pdf/paris_agreement_russian_.pdf (дата обращения 17.12.2021)</w:t>
      </w:r>
    </w:p>
  </w:footnote>
  <w:footnote w:id="2">
    <w:p w:rsidR="00726D18" w:rsidRPr="00726D18" w:rsidRDefault="00726D18" w:rsidP="00726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6D18">
        <w:rPr>
          <w:rStyle w:val="ab"/>
          <w:sz w:val="20"/>
          <w:szCs w:val="20"/>
        </w:rPr>
        <w:footnoteRef/>
      </w:r>
      <w:r w:rsidRPr="00726D18">
        <w:rPr>
          <w:sz w:val="20"/>
          <w:szCs w:val="20"/>
        </w:rPr>
        <w:t xml:space="preserve"> </w:t>
      </w:r>
      <w:r w:rsidRPr="00726D18">
        <w:rPr>
          <w:rFonts w:ascii="Times New Roman" w:hAnsi="Times New Roman" w:cs="Times New Roman"/>
          <w:color w:val="000000" w:themeColor="text1"/>
          <w:sz w:val="20"/>
          <w:szCs w:val="20"/>
        </w:rPr>
        <w:t>Темирова З. А. Энергетическая безопасность как фактор устойчивого экономического развития // Экономика и управление в XXI веке: тенденции развития. - 2012. - № 7. - С. 142-146.</w:t>
      </w:r>
    </w:p>
    <w:p w:rsidR="00726D18" w:rsidRDefault="00726D18">
      <w:pPr>
        <w:pStyle w:val="a9"/>
      </w:pPr>
    </w:p>
  </w:footnote>
  <w:footnote w:id="3">
    <w:p w:rsidR="00BC440E" w:rsidRPr="00726D18" w:rsidRDefault="00BC440E">
      <w:pPr>
        <w:pStyle w:val="a9"/>
      </w:pPr>
      <w:r w:rsidRPr="00726D18">
        <w:rPr>
          <w:rStyle w:val="ab"/>
        </w:rPr>
        <w:footnoteRef/>
      </w:r>
      <w:r w:rsidRPr="00726D18">
        <w:t xml:space="preserve"> Указ Президента Российской Федерации от 13 мая 2019 г. № 216 «</w:t>
      </w:r>
      <w:r w:rsidRPr="00726D18">
        <w:rPr>
          <w:rFonts w:ascii="Arial" w:hAnsi="Arial" w:cs="Arial"/>
          <w:color w:val="202122"/>
          <w:shd w:val="clear" w:color="auto" w:fill="FFFFFF"/>
        </w:rPr>
        <w:t xml:space="preserve">Доктрина энергетической безопасности Российской Федерации». Доступ </w:t>
      </w:r>
      <w:r w:rsidRPr="00726D18">
        <w:rPr>
          <w:rFonts w:ascii="Arial" w:hAnsi="Arial" w:cs="Arial"/>
          <w:color w:val="202122"/>
          <w:shd w:val="clear" w:color="auto" w:fill="FFFFFF"/>
          <w:lang w:val="en-US"/>
        </w:rPr>
        <w:t>URL</w:t>
      </w:r>
      <w:r w:rsidRPr="00726D18">
        <w:rPr>
          <w:rFonts w:ascii="Arial" w:hAnsi="Arial" w:cs="Arial"/>
          <w:color w:val="202122"/>
          <w:shd w:val="clear" w:color="auto" w:fill="FFFFFF"/>
        </w:rPr>
        <w:t xml:space="preserve"> file:///C:/Users/Админ/Downloads/document-96941.pdf (дата обращения 17.12.2021)</w:t>
      </w:r>
    </w:p>
  </w:footnote>
  <w:footnote w:id="4">
    <w:p w:rsidR="009B1871" w:rsidRPr="00726D18" w:rsidRDefault="009B1871" w:rsidP="009B1871">
      <w:pPr>
        <w:pStyle w:val="a9"/>
        <w:jc w:val="both"/>
        <w:rPr>
          <w:rFonts w:ascii="Times New Roman" w:hAnsi="Times New Roman" w:cs="Times New Roman"/>
        </w:rPr>
      </w:pPr>
      <w:r w:rsidRPr="00726D18">
        <w:rPr>
          <w:rStyle w:val="ab"/>
          <w:rFonts w:ascii="Times New Roman" w:hAnsi="Times New Roman" w:cs="Times New Roman"/>
        </w:rPr>
        <w:footnoteRef/>
      </w:r>
      <w:r w:rsidRPr="00726D18">
        <w:rPr>
          <w:rFonts w:ascii="Times New Roman" w:hAnsi="Times New Roman" w:cs="Times New Roman"/>
        </w:rPr>
        <w:t xml:space="preserve"> </w:t>
      </w:r>
      <w:r w:rsidRPr="00726D18">
        <w:rPr>
          <w:rFonts w:ascii="Times New Roman" w:hAnsi="Times New Roman" w:cs="Times New Roman"/>
          <w:color w:val="000000" w:themeColor="text1"/>
        </w:rPr>
        <w:t>Распоряжение Правительства Российской Федерации</w:t>
      </w:r>
      <w:r w:rsidRPr="00726D18">
        <w:rPr>
          <w:rFonts w:ascii="Times New Roman" w:hAnsi="Times New Roman" w:cs="Times New Roman"/>
          <w:color w:val="000000" w:themeColor="text1"/>
        </w:rPr>
        <w:t xml:space="preserve"> от 09 июня 2020 года </w:t>
      </w:r>
      <w:r w:rsidRPr="00726D1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N 1523-р</w:t>
      </w:r>
      <w:r w:rsidRPr="00726D18">
        <w:rPr>
          <w:rFonts w:ascii="Times New Roman" w:hAnsi="Times New Roman" w:cs="Times New Roman"/>
          <w:color w:val="000000" w:themeColor="text1"/>
        </w:rPr>
        <w:t xml:space="preserve"> </w:t>
      </w:r>
      <w:r w:rsidRPr="00726D18">
        <w:rPr>
          <w:rFonts w:ascii="Times New Roman" w:hAnsi="Times New Roman" w:cs="Times New Roman"/>
          <w:color w:val="000000" w:themeColor="text1"/>
        </w:rPr>
        <w:t>«</w:t>
      </w:r>
      <w:r w:rsidRPr="00726D1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Об утверждении Энергетической стратегии Российской Федерации на период до 2035</w:t>
      </w:r>
      <w:r w:rsidRPr="00726D1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». Доступ </w:t>
      </w:r>
      <w:r w:rsidRPr="00726D1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URL</w:t>
      </w:r>
      <w:r w:rsidRPr="00726D1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: https://docs.cntd.ru/document/565068231?marker=6580IP (дата обращения 17.12.2021).</w:t>
      </w:r>
    </w:p>
  </w:footnote>
  <w:footnote w:id="5">
    <w:p w:rsidR="00B408A0" w:rsidRPr="00726D18" w:rsidRDefault="00B408A0" w:rsidP="00B408A0">
      <w:pPr>
        <w:pStyle w:val="1"/>
        <w:spacing w:before="0" w:line="240" w:lineRule="auto"/>
        <w:jc w:val="both"/>
        <w:textAlignment w:val="top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726D18">
        <w:rPr>
          <w:rStyle w:val="ab"/>
          <w:rFonts w:ascii="Times New Roman" w:hAnsi="Times New Roman" w:cs="Times New Roman"/>
          <w:b w:val="0"/>
          <w:color w:val="000000" w:themeColor="text1"/>
          <w:sz w:val="20"/>
          <w:szCs w:val="20"/>
        </w:rPr>
        <w:footnoteRef/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Шпак А.С.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Николаева Л.В.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726D18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  <w:bdr w:val="none" w:sz="0" w:space="0" w:color="auto" w:frame="1"/>
        </w:rPr>
        <w:t>Внешние и внутренние угрозы энергетической безопасности российской Федерации на современном этапе</w:t>
      </w:r>
      <w:r w:rsidRPr="00726D18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  <w:bdr w:val="none" w:sz="0" w:space="0" w:color="auto" w:frame="1"/>
        </w:rPr>
        <w:t xml:space="preserve"> // 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  <w:bdr w:val="none" w:sz="0" w:space="0" w:color="auto" w:frame="1"/>
        </w:rPr>
        <w:t>Наука без границ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2018 г. </w:t>
      </w:r>
    </w:p>
  </w:footnote>
  <w:footnote w:id="6">
    <w:p w:rsidR="00B2305C" w:rsidRPr="00726D18" w:rsidRDefault="00B2305C" w:rsidP="00B408A0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726D18">
        <w:rPr>
          <w:rStyle w:val="ab"/>
          <w:rFonts w:ascii="Times New Roman" w:hAnsi="Times New Roman" w:cs="Times New Roman"/>
          <w:b w:val="0"/>
          <w:color w:val="000000" w:themeColor="text1"/>
          <w:sz w:val="20"/>
          <w:szCs w:val="20"/>
        </w:rPr>
        <w:footnoteRef/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ЧП и аварии на шахтах в России в 2020-2021 годах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РИА. Доступ 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URL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: https://ria.ru/20211125/shakhty-1760652143.html (дата обращения 17.12.2021).</w:t>
      </w:r>
    </w:p>
    <w:p w:rsidR="00B2305C" w:rsidRDefault="00B2305C">
      <w:pPr>
        <w:pStyle w:val="a9"/>
      </w:pPr>
    </w:p>
  </w:footnote>
  <w:footnote w:id="7">
    <w:p w:rsidR="003059CF" w:rsidRPr="00726D18" w:rsidRDefault="003059CF" w:rsidP="0057291D">
      <w:pPr>
        <w:pStyle w:val="a9"/>
        <w:jc w:val="both"/>
        <w:rPr>
          <w:rFonts w:ascii="Times New Roman" w:hAnsi="Times New Roman" w:cs="Times New Roman"/>
          <w:color w:val="000000" w:themeColor="text1"/>
        </w:rPr>
      </w:pPr>
      <w:r w:rsidRPr="00726D18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726D18">
        <w:rPr>
          <w:rFonts w:ascii="Times New Roman" w:hAnsi="Times New Roman" w:cs="Times New Roman"/>
          <w:color w:val="000000" w:themeColor="text1"/>
        </w:rPr>
        <w:t xml:space="preserve"> </w:t>
      </w:r>
      <w:r w:rsidRPr="00726D18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Воропай Н.И., Сендеров С.М.</w:t>
      </w:r>
      <w:r w:rsidRPr="00726D18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726D18">
        <w:rPr>
          <w:rFonts w:ascii="Times New Roman" w:hAnsi="Times New Roman" w:cs="Times New Roman"/>
          <w:color w:val="000000" w:themeColor="text1"/>
          <w:shd w:val="clear" w:color="auto" w:fill="FFFFFF"/>
        </w:rPr>
        <w:t>Энергетическая безопасность: сущность, основные проблемы, методы и результаты исследований</w:t>
      </w:r>
      <w:r w:rsidRPr="00726D18">
        <w:rPr>
          <w:rFonts w:ascii="Times New Roman" w:hAnsi="Times New Roman" w:cs="Times New Roman"/>
          <w:color w:val="000000" w:themeColor="text1"/>
          <w:shd w:val="clear" w:color="auto" w:fill="FFFFFF"/>
        </w:rPr>
        <w:t>. Институт народнохозяйственного прогнозирования РАН.</w:t>
      </w:r>
      <w:r w:rsidR="0057291D" w:rsidRPr="00726D1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2011. С.91.</w:t>
      </w:r>
    </w:p>
  </w:footnote>
  <w:footnote w:id="8">
    <w:p w:rsidR="00726D18" w:rsidRPr="00726D18" w:rsidRDefault="00726D18" w:rsidP="00726D18">
      <w:pPr>
        <w:pStyle w:val="1"/>
        <w:spacing w:before="0" w:line="240" w:lineRule="auto"/>
        <w:jc w:val="both"/>
        <w:textAlignment w:val="top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726D18">
        <w:rPr>
          <w:rStyle w:val="ab"/>
          <w:rFonts w:ascii="Times New Roman" w:hAnsi="Times New Roman" w:cs="Times New Roman"/>
          <w:b w:val="0"/>
          <w:color w:val="000000" w:themeColor="text1"/>
          <w:sz w:val="20"/>
          <w:szCs w:val="20"/>
        </w:rPr>
        <w:footnoteRef/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  <w:shd w:val="clear" w:color="auto" w:fill="FFFFFF"/>
        </w:rPr>
        <w:t xml:space="preserve">Гадзацев К.В. </w:t>
      </w:r>
      <w:r w:rsidRPr="00726D18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  <w:bdr w:val="none" w:sz="0" w:space="0" w:color="auto" w:frame="1"/>
        </w:rPr>
        <w:t xml:space="preserve">Вызовы и угрозы энергетической безопасности России // </w:t>
      </w:r>
      <w:hyperlink r:id="rId1" w:history="1">
        <w:r w:rsidRPr="00726D18">
          <w:rPr>
            <w:rStyle w:val="a5"/>
            <w:rFonts w:ascii="Times New Roman" w:hAnsi="Times New Roman" w:cs="Times New Roman"/>
            <w:b w:val="0"/>
            <w:color w:val="000000" w:themeColor="text1"/>
            <w:sz w:val="20"/>
            <w:szCs w:val="20"/>
            <w:u w:val="none"/>
            <w:bdr w:val="none" w:sz="0" w:space="0" w:color="auto" w:frame="1"/>
          </w:rPr>
          <w:t>Век глобализации</w:t>
        </w:r>
      </w:hyperlink>
      <w:r w:rsidRPr="00726D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.-2020.- С. 126-134.</w:t>
      </w:r>
    </w:p>
    <w:p w:rsidR="00726D18" w:rsidRDefault="00726D18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797712"/>
      <w:docPartObj>
        <w:docPartGallery w:val="Page Numbers (Top of Page)"/>
        <w:docPartUnique/>
      </w:docPartObj>
    </w:sdtPr>
    <w:sdtContent>
      <w:p w:rsidR="0010048D" w:rsidRDefault="001004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FC3">
          <w:rPr>
            <w:noProof/>
          </w:rPr>
          <w:t>12</w:t>
        </w:r>
        <w:r>
          <w:fldChar w:fldCharType="end"/>
        </w:r>
      </w:p>
    </w:sdtContent>
  </w:sdt>
  <w:p w:rsidR="0010048D" w:rsidRDefault="0010048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C4B"/>
    <w:multiLevelType w:val="hybridMultilevel"/>
    <w:tmpl w:val="46905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9A4505"/>
    <w:multiLevelType w:val="hybridMultilevel"/>
    <w:tmpl w:val="9014C346"/>
    <w:lvl w:ilvl="0" w:tplc="B4B288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0B5E7F"/>
    <w:multiLevelType w:val="hybridMultilevel"/>
    <w:tmpl w:val="CC36DE96"/>
    <w:lvl w:ilvl="0" w:tplc="B2587A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7615F"/>
    <w:multiLevelType w:val="hybridMultilevel"/>
    <w:tmpl w:val="2B0A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81447D"/>
    <w:multiLevelType w:val="multilevel"/>
    <w:tmpl w:val="533E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6941C0"/>
    <w:multiLevelType w:val="hybridMultilevel"/>
    <w:tmpl w:val="42646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03"/>
    <w:rsid w:val="000104B4"/>
    <w:rsid w:val="00063DC5"/>
    <w:rsid w:val="0010048D"/>
    <w:rsid w:val="001157F4"/>
    <w:rsid w:val="001C6EFB"/>
    <w:rsid w:val="00204D45"/>
    <w:rsid w:val="00296D92"/>
    <w:rsid w:val="0029774B"/>
    <w:rsid w:val="002A744E"/>
    <w:rsid w:val="002E71A2"/>
    <w:rsid w:val="003059CF"/>
    <w:rsid w:val="00357C01"/>
    <w:rsid w:val="004455C5"/>
    <w:rsid w:val="004706F8"/>
    <w:rsid w:val="004C3D4D"/>
    <w:rsid w:val="004D0853"/>
    <w:rsid w:val="00543666"/>
    <w:rsid w:val="00545283"/>
    <w:rsid w:val="00553853"/>
    <w:rsid w:val="0057291D"/>
    <w:rsid w:val="00581D42"/>
    <w:rsid w:val="005A4784"/>
    <w:rsid w:val="005B63C6"/>
    <w:rsid w:val="005C64A7"/>
    <w:rsid w:val="00603AC2"/>
    <w:rsid w:val="00643136"/>
    <w:rsid w:val="006B6B03"/>
    <w:rsid w:val="006D760D"/>
    <w:rsid w:val="006E2564"/>
    <w:rsid w:val="00726D18"/>
    <w:rsid w:val="007E04C8"/>
    <w:rsid w:val="008C3F5A"/>
    <w:rsid w:val="00926641"/>
    <w:rsid w:val="009711AE"/>
    <w:rsid w:val="009B1871"/>
    <w:rsid w:val="00A150A6"/>
    <w:rsid w:val="00A30E42"/>
    <w:rsid w:val="00A6120B"/>
    <w:rsid w:val="00A92008"/>
    <w:rsid w:val="00AD3B93"/>
    <w:rsid w:val="00B13C79"/>
    <w:rsid w:val="00B2305C"/>
    <w:rsid w:val="00B408A0"/>
    <w:rsid w:val="00B444DB"/>
    <w:rsid w:val="00BB7239"/>
    <w:rsid w:val="00BC440E"/>
    <w:rsid w:val="00BE33F3"/>
    <w:rsid w:val="00C01AE9"/>
    <w:rsid w:val="00C11551"/>
    <w:rsid w:val="00C52A39"/>
    <w:rsid w:val="00C603AF"/>
    <w:rsid w:val="00D67F21"/>
    <w:rsid w:val="00DC5EF5"/>
    <w:rsid w:val="00DF7FC3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paragraph" w:styleId="a9">
    <w:name w:val="footnote text"/>
    <w:basedOn w:val="a"/>
    <w:link w:val="aa"/>
    <w:uiPriority w:val="99"/>
    <w:semiHidden/>
    <w:unhideWhenUsed/>
    <w:rsid w:val="00C01AE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01AE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01AE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1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04B4"/>
  </w:style>
  <w:style w:type="paragraph" w:styleId="ae">
    <w:name w:val="footer"/>
    <w:basedOn w:val="a"/>
    <w:link w:val="af"/>
    <w:uiPriority w:val="99"/>
    <w:unhideWhenUsed/>
    <w:rsid w:val="0001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04B4"/>
  </w:style>
  <w:style w:type="character" w:customStyle="1" w:styleId="10">
    <w:name w:val="Заголовок 1 Знак"/>
    <w:basedOn w:val="a0"/>
    <w:link w:val="1"/>
    <w:uiPriority w:val="9"/>
    <w:rsid w:val="00B23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ation">
    <w:name w:val="citation"/>
    <w:basedOn w:val="a0"/>
    <w:rsid w:val="00726D18"/>
  </w:style>
  <w:style w:type="character" w:customStyle="1" w:styleId="nowrap">
    <w:name w:val="nowrap"/>
    <w:basedOn w:val="a0"/>
    <w:rsid w:val="00726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paragraph" w:styleId="a9">
    <w:name w:val="footnote text"/>
    <w:basedOn w:val="a"/>
    <w:link w:val="aa"/>
    <w:uiPriority w:val="99"/>
    <w:semiHidden/>
    <w:unhideWhenUsed/>
    <w:rsid w:val="00C01AE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01AE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01AE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1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04B4"/>
  </w:style>
  <w:style w:type="paragraph" w:styleId="ae">
    <w:name w:val="footer"/>
    <w:basedOn w:val="a"/>
    <w:link w:val="af"/>
    <w:uiPriority w:val="99"/>
    <w:unhideWhenUsed/>
    <w:rsid w:val="0001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04B4"/>
  </w:style>
  <w:style w:type="character" w:customStyle="1" w:styleId="10">
    <w:name w:val="Заголовок 1 Знак"/>
    <w:basedOn w:val="a0"/>
    <w:link w:val="1"/>
    <w:uiPriority w:val="9"/>
    <w:rsid w:val="00B23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ation">
    <w:name w:val="citation"/>
    <w:basedOn w:val="a0"/>
    <w:rsid w:val="00726D18"/>
  </w:style>
  <w:style w:type="character" w:customStyle="1" w:styleId="nowrap">
    <w:name w:val="nowrap"/>
    <w:basedOn w:val="a0"/>
    <w:rsid w:val="0072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journal/n/vestnik-omskogo-universiteta-seriya-ekonomik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yberleninka.ru/journal/n/vek-globalizatsi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yberleninka.ru/journal/n/vek-globaliz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7D76-839B-4A26-A876-3BB50251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2464</Words>
  <Characters>17619</Characters>
  <Application>Microsoft Office Word</Application>
  <DocSecurity>0</DocSecurity>
  <Lines>518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Админ</cp:lastModifiedBy>
  <cp:revision>2</cp:revision>
  <dcterms:created xsi:type="dcterms:W3CDTF">2021-12-17T22:58:00Z</dcterms:created>
  <dcterms:modified xsi:type="dcterms:W3CDTF">2021-12-17T22:58:00Z</dcterms:modified>
</cp:coreProperties>
</file>