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91" w:rsidRPr="00155E9E" w:rsidRDefault="00816C91" w:rsidP="00816C9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77281826"/>
      <w:r w:rsidRPr="00155E9E">
        <w:rPr>
          <w:rFonts w:ascii="Times New Roman" w:hAnsi="Times New Roman" w:cs="Times New Roman"/>
          <w:color w:val="auto"/>
        </w:rPr>
        <w:t>3. ТЕХНОЛОГИЯ, ОРГАНИЗАЦИЯ И ЭКОНОМИКА СТРОИТЕЛЬСТВА</w:t>
      </w:r>
      <w:bookmarkEnd w:id="0"/>
    </w:p>
    <w:p w:rsidR="00816C91" w:rsidRDefault="00816C91" w:rsidP="00816C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77281827"/>
      <w:r w:rsidRPr="00155E9E">
        <w:rPr>
          <w:rFonts w:ascii="Times New Roman" w:hAnsi="Times New Roman" w:cs="Times New Roman"/>
          <w:color w:val="auto"/>
          <w:sz w:val="28"/>
          <w:szCs w:val="28"/>
        </w:rPr>
        <w:t>3.1 Календарный план строительства</w:t>
      </w:r>
      <w:bookmarkEnd w:id="1"/>
    </w:p>
    <w:p w:rsidR="00816C91" w:rsidRPr="008A6955" w:rsidRDefault="00816C91" w:rsidP="00816C91"/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Календарный план один из основных документов организации строительства и производства работ, где указаны:</w:t>
      </w:r>
    </w:p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- технологическая последовательность выполнения строительно-монтажных работ, их взаимная увязка по времени;</w:t>
      </w:r>
    </w:p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- сроки выполнения различных работ;</w:t>
      </w:r>
    </w:p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- потребность в ресурсах (людских, технических, материальных, финансовых).</w:t>
      </w:r>
    </w:p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Порядок разработки календарного плана регламентируется [2]. При проектировании календарного плана руководствуются прогрессивными методами выполнения работ с применением новейших достижений в области строительства, обеспечивающими высокое качество работ, соблюдением правил техники безопасности и охраны труда.</w:t>
      </w:r>
    </w:p>
    <w:p w:rsidR="00816C91" w:rsidRPr="00155E9E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Календарный план рассчитывают с применением (где необходимо) поточного метода выполнения работ, с максимальным совмещением трудовых процессов по времени.</w:t>
      </w:r>
    </w:p>
    <w:p w:rsidR="00816C91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E9E">
        <w:rPr>
          <w:rFonts w:ascii="Times New Roman" w:hAnsi="Times New Roman" w:cs="Times New Roman"/>
          <w:sz w:val="28"/>
          <w:szCs w:val="28"/>
        </w:rPr>
        <w:t>Для разработки календарного плана составляется ведомость объемов работ с расчетом трудозатрат: подбираются механизмы, принимаются бригады рабочих, задается сменность и определяется продолжительность каждой работы в днях.</w:t>
      </w:r>
    </w:p>
    <w:p w:rsidR="00816C91" w:rsidRDefault="00816C91" w:rsidP="00816C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77281828"/>
      <w:r w:rsidRPr="004B1BE5">
        <w:rPr>
          <w:rFonts w:ascii="Times New Roman" w:hAnsi="Times New Roman" w:cs="Times New Roman"/>
          <w:color w:val="auto"/>
          <w:sz w:val="28"/>
          <w:szCs w:val="28"/>
        </w:rPr>
        <w:t>3.2 Порядок разработки календарного плана строительства объекта</w:t>
      </w:r>
      <w:bookmarkEnd w:id="2"/>
    </w:p>
    <w:p w:rsidR="00816C91" w:rsidRPr="004B1BE5" w:rsidRDefault="00816C91" w:rsidP="00816C91"/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Для разработки календарного плана (КП) строительства исходными данными являются: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- рабочие чертежи и сметы;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- сроки строительства (нормативные и директивные);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lastRenderedPageBreak/>
        <w:t xml:space="preserve">- технологические карты на строительно-монтажные работы;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- данные изысканий.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На основании исходных материалов определяют номенклатуру работ и технологическую последовательность их выполнения. Работы группируют по видам основных строительных процессов и по периодам их выполнения. По рабочим чертежам подсчитывают объемы работ, в КП объемы работ должны быть приведены в единицах, принятых в ЕНиР. Определяют методы производства каждого вида работ и определяют механизмы, необходимые для их выполнения. Тип и мощность машин выбирают исходя из объема и условия работы, сроков выполнения данного строительного процесса, а также методов и способов производства работ. При выборе крана необходимо учитывать соответствие его параметров условиям монтажа и правилам безопасности производства работ. </w:t>
      </w:r>
    </w:p>
    <w:p w:rsidR="00816C91" w:rsidRPr="004B1BE5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BE5">
        <w:rPr>
          <w:rFonts w:ascii="Times New Roman" w:hAnsi="Times New Roman" w:cs="Times New Roman"/>
          <w:sz w:val="28"/>
          <w:szCs w:val="28"/>
        </w:rPr>
        <w:t>Далее определяют трудоемкость работ в человеко-днях (чел.-дн.) и машино-сменах (маш.-см.).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Выявляют технологическую последовательность, устанавливают сменность работ. Число смен в день назначают в зависимости от выполняемой работы. При монтажных работах, каменной кладке или работах, выполняемых с применением механизмов, число смен должно быть не менее двух. Работы без использования строительных машин выполняют в одну смену.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Для определения продолжительности каждого вида работ подбирают состав звеньев и бригад. Расчет состава бригад должен учитывать выполнение комплексного строительного процесса и не вызывать изменений в численности бригады и квалификации ее членов. Продолжительность работ Tдн и численность рабочих в смену определяют в соответствии с трудоемкостью работ. </w:t>
      </w:r>
    </w:p>
    <w:p w:rsidR="00816C91" w:rsidRPr="004B1BE5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1BE5">
        <w:rPr>
          <w:sz w:val="28"/>
          <w:szCs w:val="28"/>
        </w:rPr>
        <w:t xml:space="preserve">Последовательность выполнения работ на объекте продиктована проектными решениями и соблюдением технологии выполнения работ. </w:t>
      </w:r>
    </w:p>
    <w:p w:rsidR="00816C91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BE5">
        <w:rPr>
          <w:rFonts w:ascii="Times New Roman" w:hAnsi="Times New Roman" w:cs="Times New Roman"/>
          <w:sz w:val="28"/>
          <w:szCs w:val="28"/>
        </w:rPr>
        <w:t>Составление ведомости объемов работ и трудозатрат.</w:t>
      </w:r>
    </w:p>
    <w:p w:rsidR="00816C91" w:rsidRPr="004B1BE5" w:rsidRDefault="00816C91" w:rsidP="00816C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77281829"/>
      <w:r w:rsidRPr="004B1BE5">
        <w:rPr>
          <w:rFonts w:ascii="Times New Roman" w:hAnsi="Times New Roman" w:cs="Times New Roman"/>
          <w:color w:val="auto"/>
          <w:sz w:val="28"/>
          <w:szCs w:val="28"/>
        </w:rPr>
        <w:lastRenderedPageBreak/>
        <w:t>3.3 Технико-экономические показатели</w:t>
      </w:r>
      <w:bookmarkEnd w:id="3"/>
    </w:p>
    <w:p w:rsidR="00816C91" w:rsidRDefault="00816C91" w:rsidP="00816C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Составив календарный план, на строительство детского сада на 60 мест, определяем технико-экономические показатели, характеризующие целесообразность и экономичность принятых решений в КП. Расчету подлежат следующие показатели, которые заносим в таблицу 3.1.</w:t>
      </w:r>
    </w:p>
    <w:p w:rsidR="00816C91" w:rsidRDefault="00816C91" w:rsidP="00816C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Таблица 3.1.  - Технико-экономические показатели</w:t>
      </w:r>
    </w:p>
    <w:p w:rsidR="00816C91" w:rsidRDefault="00816C91" w:rsidP="00816C91">
      <w:pPr>
        <w:pStyle w:val="Default"/>
        <w:jc w:val="center"/>
        <w:rPr>
          <w:sz w:val="28"/>
          <w:szCs w:val="28"/>
        </w:rPr>
      </w:pPr>
    </w:p>
    <w:p w:rsidR="00816C91" w:rsidRDefault="00816C91" w:rsidP="00816C91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Показатель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Ед. изм.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Значение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Нормативная продолжительность строительства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месяцы / дни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17/374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Продолжительность строительства по графику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месяцы / дни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15,6/344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Сокращение срока строительства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%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8,02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Общая трудоемкость СМР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чел.-дни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5086,88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Максимальное количество рабочих в день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чел.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46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Неравномерность движения рабочих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0,33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RPr="00C3245E" w:rsidTr="004914A1"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Выработка на 1 чел-день Вруб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0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тыс. руб.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3191" w:type="dxa"/>
          </w:tcPr>
          <w:p w:rsidR="00816C91" w:rsidRPr="00C3245E" w:rsidRDefault="00816C91" w:rsidP="004914A1">
            <w:pPr>
              <w:pStyle w:val="Default"/>
              <w:contextualSpacing/>
              <w:jc w:val="center"/>
            </w:pPr>
            <w:r w:rsidRPr="00C3245E">
              <w:t xml:space="preserve">2,824 </w:t>
            </w:r>
          </w:p>
          <w:p w:rsidR="00816C91" w:rsidRPr="00C3245E" w:rsidRDefault="00816C91" w:rsidP="004914A1">
            <w:pPr>
              <w:pStyle w:val="Default"/>
              <w:contextualSpacing/>
              <w:jc w:val="center"/>
            </w:pPr>
          </w:p>
        </w:tc>
      </w:tr>
    </w:tbl>
    <w:p w:rsidR="00816C91" w:rsidRDefault="00816C91" w:rsidP="00816C91">
      <w:pPr>
        <w:pStyle w:val="Default"/>
        <w:jc w:val="center"/>
        <w:rPr>
          <w:sz w:val="28"/>
          <w:szCs w:val="28"/>
        </w:rPr>
      </w:pPr>
    </w:p>
    <w:p w:rsidR="00816C91" w:rsidRDefault="00816C91" w:rsidP="00816C91">
      <w:pPr>
        <w:pStyle w:val="Default"/>
        <w:jc w:val="center"/>
        <w:rPr>
          <w:sz w:val="28"/>
          <w:szCs w:val="28"/>
        </w:rPr>
      </w:pPr>
    </w:p>
    <w:p w:rsidR="00816C91" w:rsidRPr="00C3245E" w:rsidRDefault="00816C91" w:rsidP="00816C91">
      <w:pPr>
        <w:pStyle w:val="Default"/>
        <w:spacing w:line="360" w:lineRule="auto"/>
        <w:contextualSpacing/>
        <w:jc w:val="center"/>
        <w:outlineLvl w:val="1"/>
        <w:rPr>
          <w:b/>
          <w:sz w:val="28"/>
          <w:szCs w:val="28"/>
        </w:rPr>
      </w:pPr>
      <w:bookmarkStart w:id="4" w:name="_Toc77281830"/>
      <w:r w:rsidRPr="00C3245E">
        <w:rPr>
          <w:b/>
          <w:sz w:val="28"/>
          <w:szCs w:val="28"/>
        </w:rPr>
        <w:t>3.4 Тexнoлoгичecкaя кapтa на устройство монолитных стен и колонн</w:t>
      </w:r>
      <w:bookmarkEnd w:id="4"/>
    </w:p>
    <w:p w:rsidR="00816C91" w:rsidRDefault="00816C91" w:rsidP="00816C91">
      <w:pPr>
        <w:pStyle w:val="Default"/>
        <w:spacing w:line="360" w:lineRule="auto"/>
        <w:contextualSpacing/>
        <w:jc w:val="center"/>
        <w:outlineLvl w:val="2"/>
        <w:rPr>
          <w:b/>
          <w:sz w:val="28"/>
          <w:szCs w:val="28"/>
        </w:rPr>
      </w:pPr>
      <w:bookmarkStart w:id="5" w:name="_Toc77281831"/>
      <w:r w:rsidRPr="00C3245E">
        <w:rPr>
          <w:b/>
          <w:sz w:val="28"/>
          <w:szCs w:val="28"/>
        </w:rPr>
        <w:t>3.4.1 Состав кладочно-монтажных работ</w:t>
      </w:r>
      <w:bookmarkEnd w:id="5"/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 xml:space="preserve">Технологическая карта разработана на возведение детского сада. С выполнением наружных стен толщиной 510 мм из обыкновенного глиняного полнотелого кирпича. 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В технологической карте запроектированы следующие технологические процессы: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lastRenderedPageBreak/>
        <w:t>- кирпичная кладка стен;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монтаж перемычек и плит перекрытия;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перестановка подмостей;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транспортные и такелажные работы.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Работы ведутся комплексной бригадой в составе 8 человек, 1 краном в 2 смены: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в одну смену выполняются работы по возведению со всеми сопутствующими монтажными работами (монтаж перемычек);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в другую смену ведутся подготовительные работы для первой смены (установка подмостей, подача материалов) и монтажные работы.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Карта содержит в себе вариант обычной сплошной кладки стен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16C91" w:rsidRDefault="00816C91" w:rsidP="00816C91">
      <w:pPr>
        <w:pStyle w:val="Default"/>
        <w:spacing w:line="360" w:lineRule="auto"/>
        <w:contextualSpacing/>
        <w:jc w:val="center"/>
        <w:outlineLvl w:val="2"/>
        <w:rPr>
          <w:b/>
          <w:sz w:val="28"/>
          <w:szCs w:val="28"/>
        </w:rPr>
      </w:pPr>
      <w:bookmarkStart w:id="6" w:name="_Toc77281832"/>
      <w:r w:rsidRPr="00C3245E">
        <w:rPr>
          <w:b/>
          <w:sz w:val="28"/>
          <w:szCs w:val="28"/>
        </w:rPr>
        <w:t>3.4.2. Организация и технология выполнения работ</w:t>
      </w:r>
      <w:bookmarkEnd w:id="6"/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До начала кирпичной кладки должны быть выполнены: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работы по организации строительной площадки;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работы по возведению нулевого цикла;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геодезическая разбивка осей здания;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доставлены на площадку и подготовлены к работе кран, подмости, необходимые приспособления и инвентарь, материалы.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Доставку кирпича на объект осуществляют поддонами в бортовых машинах. Раствор доставляют автосамосвалами и выгружают в установку для перемешивания и выдачи раствора раздаточным бункером.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В процессе кладки запас материалов пополняется. Складирование кирпича предусмотрено на спланированной площадке на поддонах.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Разгрузку поддонов с кирпичом с автомашины и подачу на при объектный склад, а затем на рабочее место осуществляют универсальными стропами 4СК-5.0/4000, Q = 5т.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Раствор подают на рабочее место инвентарным раздаточным бункером вместимостью 1 м3 в металлические ящики вместимостью 0,25 м</w:t>
      </w:r>
      <w:r w:rsidRPr="00C3245E">
        <w:rPr>
          <w:sz w:val="28"/>
          <w:szCs w:val="28"/>
          <w:vertAlign w:val="superscript"/>
        </w:rPr>
        <w:t>3</w:t>
      </w:r>
      <w:r w:rsidRPr="00C3245E">
        <w:rPr>
          <w:sz w:val="28"/>
          <w:szCs w:val="28"/>
        </w:rPr>
        <w:t>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lastRenderedPageBreak/>
        <w:t>Арматура подается на подмости пакетами по 10 – 15 шт. универсальными стропами.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При производстве кирпичной кладки стен используют инвентарные шарнирно – пакетные подмасти. Для кладки наружных стен в зоне лестничной клетки – переходные площадки и подмасти для кладки пилонов.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Общую ширину рабочих мест принимают равной 2,5 – 2,6 м, в том числе рабочую зону 60-70 см.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Работы по производству кирпичной кладки наружных стен выполняют в следующей технологической последовательности: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подготовка рабочих мест каменщиков;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кирпичная кладка стен с армированием и расшивкой швов.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Подготовку рабочих мест каменщиков выполняют в следующем порядке: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устанавливают подмости;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расставляют на подмостях кирпич в количестве, необходимом для 2х часовой работы;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подают и раскладывают пакеты арматурных сеток;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расставляют ящики для раствора;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устанавливают порядовки с указанием на них отметок оконных и дверных проемов.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Процесс кирпичной кладки состоит из следующих операций: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установка и перестановка причалки;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рубка и теска кирпичей по мере надобности;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подача кирпичей и раскладка их на стене;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перелопачивание, подача, расстилание и разравнивание раствора на стене;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укладка кирпичей в наружную часть стены (4 ряда) с одновременным выкладыванием арматурных сеток;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выкладывание внутренней части стены;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- расшивка швов;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lastRenderedPageBreak/>
        <w:t>- проверка правильности выложенной кладки.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Каменщик 5 разряда (№ 1) устанавливает рейку - порядовку, натягивает причальный шнур для обеспечения прямолинейности кладки . Другой каменщик 2 разряда (№ 2) берет с поддона кирпичи и раскладывает их. Кирпич раскладывают на стене в определенном порядке. Для наружной версты кирпич раскладывают на внутренней стороне стены, а для внутренних верст – на середине стены. Затем каменщик № 2 расстилает раствор.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В это время каменщик № 1 ведет кладку наружной и внутренней версты способом «в прижим».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 мере укладки каждых 4 – 5 кирпичей, избыток раствора, выжатого из горизонтального шва на лицо стены, каменщик № 1 подрезает ребром кельмы. Одновременно с кладкой стены каменщик № 2 расшивает швы, причем сначала расшивает вертикальные швы, а затем горизонтальные. Расшивку швов каменщик № 2 производит сначала более широкой частью расшивки (оправка шва), а затем более узкой.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Поверхность, обращенная внутрь здания, выполняется в «пустошовку» для последующего выполнения штукатурных работ.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Если в стене предусмотрены проемы, то в кирпичной кладке внутренней</w:t>
      </w:r>
      <w:r>
        <w:rPr>
          <w:sz w:val="28"/>
          <w:szCs w:val="28"/>
        </w:rPr>
        <w:t xml:space="preserve"> </w:t>
      </w:r>
      <w:r w:rsidRPr="00C3245E">
        <w:rPr>
          <w:sz w:val="28"/>
          <w:szCs w:val="28"/>
        </w:rPr>
        <w:t>версты грани проемов стены каменщик № 3 закладывает в каждый шестой ряд по</w:t>
      </w:r>
      <w:r>
        <w:rPr>
          <w:sz w:val="28"/>
          <w:szCs w:val="28"/>
        </w:rPr>
        <w:t xml:space="preserve"> </w:t>
      </w:r>
      <w:r w:rsidRPr="00C3245E">
        <w:rPr>
          <w:sz w:val="28"/>
          <w:szCs w:val="28"/>
        </w:rPr>
        <w:t>высоте антисептированные деревянные пробки для крепления оконных блоков.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 окончании кладки каменщик № 1 угольником проверяет правильность и горизонтальность рядов кладки.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Толщины стен, длину простенков и ширину оконных проемов замеряют метром. В случае отклонений каменщик № 1 исправляет кладку правилом и молотком – киркой.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Каменщик 4 разряда устанавливает арматурные сетки согласно схеме армирования, предварительно расстилая под них раствор. После укладки сетки покрываются цементным молоком.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После этого каменщики переходят работать на другую захватку.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lastRenderedPageBreak/>
        <w:t>Выполнив кирпичную кладку на I ярусе, каменщики переходят работать на II ярус. Для этого необходимо установить шарнирно – пакетные подмости в первое положение. Установку шарнирно – пакетных подмостей в первое положение выполняют в следующем порядке.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Такелажник 2 разряда визуально проверяет исправность подмостей , в случае необходимости устраняет неисправности.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Очистив подмости от раствора, он стропит их за 4 внешние петли. По сигналу машинист крана подает подмости к месту установки. Плотники 4 и 2 разрядов принимают подмости, регулируют их положение над местом установки и пловно отпускают на место, следя за плотностью их примыкания к соседним подмостям, при необходимости регулируют их положение при помощи ломов.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Установленные подмости расстроповывают. Установка подмостей из первого положения во второе производится следующим образом.</w:t>
      </w:r>
    </w:p>
    <w:p w:rsidR="00816C91" w:rsidRPr="00C3245E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245E">
        <w:rPr>
          <w:sz w:val="28"/>
          <w:szCs w:val="28"/>
        </w:rPr>
        <w:t>Плотники 4 и 2 разрядов стропят подмости за 4 внешние петли, переходят на стоящие рядом подмости, подают сигнал машинисту крана на подъем и следят за равномерным раскрытием опор и перемещение их в вертикальное положение. Плотники 4 и 2 разрядов устанавливают подмости на перекрытие, при необходимости регулирования их положения. Затем по лестнице они поднимаются на подмости и расстроповывают их.</w:t>
      </w:r>
    </w:p>
    <w:p w:rsidR="00816C91" w:rsidRDefault="00816C91" w:rsidP="00816C91">
      <w:pPr>
        <w:pStyle w:val="Default"/>
        <w:spacing w:line="360" w:lineRule="auto"/>
        <w:contextualSpacing/>
        <w:jc w:val="center"/>
        <w:outlineLvl w:val="2"/>
        <w:rPr>
          <w:b/>
          <w:sz w:val="28"/>
          <w:szCs w:val="28"/>
        </w:rPr>
      </w:pPr>
      <w:bookmarkStart w:id="7" w:name="_Toc77281833"/>
      <w:r w:rsidRPr="00C3245E">
        <w:rPr>
          <w:b/>
          <w:sz w:val="28"/>
          <w:szCs w:val="28"/>
        </w:rPr>
        <w:t>3.4.3 Ведомость объемов работ</w:t>
      </w:r>
      <w:bookmarkEnd w:id="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№ п/п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Наименование работ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Единица изм. по ЕНиР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Объем работ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8" w:name="_Toc77281834"/>
            <w:r w:rsidRPr="00B04A00">
              <w:t>1</w:t>
            </w:r>
            <w:bookmarkEnd w:id="8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Выгрузка кирпича с автомашины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100 т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5,92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9" w:name="_Toc77281835"/>
            <w:r w:rsidRPr="00B04A00">
              <w:t>2</w:t>
            </w:r>
            <w:bookmarkEnd w:id="9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>Подача кирпича гусеничным краном на поддонах до 400 шт.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1000 шт.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76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0" w:name="_Toc77281836"/>
            <w:r w:rsidRPr="00B04A00">
              <w:t>3</w:t>
            </w:r>
            <w:bookmarkEnd w:id="10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>Подача раствора в бункерах емкостью до 1,2 м</w:t>
            </w:r>
            <w:r w:rsidRPr="00B04A00">
              <w:rPr>
                <w:vertAlign w:val="superscript"/>
              </w:rPr>
              <w:t>3</w:t>
            </w:r>
            <w:r w:rsidRPr="00B04A00">
              <w:t xml:space="preserve">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>1 м</w:t>
            </w:r>
            <w:r w:rsidRPr="00B04A00">
              <w:rPr>
                <w:vertAlign w:val="superscript"/>
              </w:rPr>
              <w:t>3</w:t>
            </w:r>
            <w:r w:rsidRPr="00B04A00">
              <w:t xml:space="preserve">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36,5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1" w:name="_Toc77281837"/>
            <w:r w:rsidRPr="00B04A00">
              <w:t>4</w:t>
            </w:r>
            <w:bookmarkEnd w:id="11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Сплошная кладка наружных стен из кирпича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  <w:bookmarkStart w:id="12" w:name="_Toc77281838"/>
            <w:r w:rsidRPr="00B04A00">
              <w:t>ơ = 380 мм с расшивкой швов</w:t>
            </w:r>
            <w:bookmarkEnd w:id="12"/>
            <w:r w:rsidRPr="00B04A00">
              <w:t xml:space="preserve"> </w:t>
            </w: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>1 м</w:t>
            </w:r>
            <w:r w:rsidRPr="00B04A00">
              <w:rPr>
                <w:vertAlign w:val="superscript"/>
              </w:rPr>
              <w:t>3</w:t>
            </w:r>
            <w:r w:rsidRPr="00B04A00">
              <w:t xml:space="preserve">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120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3" w:name="_Toc77281839"/>
            <w:r w:rsidRPr="00B04A00">
              <w:t>5</w:t>
            </w:r>
            <w:bookmarkEnd w:id="13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Кладка перегородок из кирпича </w:t>
            </w:r>
            <w:r w:rsidRPr="00B04A00">
              <w:lastRenderedPageBreak/>
              <w:t xml:space="preserve">под штукатурку ơ = 120 мм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lastRenderedPageBreak/>
              <w:t>1 м</w:t>
            </w:r>
            <w:r w:rsidRPr="00B04A00">
              <w:rPr>
                <w:vertAlign w:val="superscript"/>
              </w:rPr>
              <w:t>3</w:t>
            </w:r>
            <w:r w:rsidRPr="00B04A00">
              <w:t xml:space="preserve">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lastRenderedPageBreak/>
              <w:t xml:space="preserve">18,02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  <w:rPr>
                <w:b/>
              </w:rPr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4" w:name="_Toc77281840"/>
            <w:r w:rsidRPr="00B04A00">
              <w:lastRenderedPageBreak/>
              <w:t>6</w:t>
            </w:r>
            <w:bookmarkEnd w:id="14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Укладка брусковых перемычек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 проем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46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5" w:name="_Toc77281841"/>
            <w:r w:rsidRPr="00B04A00">
              <w:t>7</w:t>
            </w:r>
            <w:bookmarkEnd w:id="15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Подача подмастей краном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100 т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0,026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6" w:name="_Toc77281842"/>
            <w:r w:rsidRPr="00B04A00">
              <w:t>8</w:t>
            </w:r>
            <w:bookmarkEnd w:id="16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Устройство и разборка инвентарных подмастей для кладки внутренних стен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>10 м</w:t>
            </w:r>
            <w:r w:rsidRPr="00B04A00">
              <w:rPr>
                <w:vertAlign w:val="superscript"/>
              </w:rPr>
              <w:t>3</w:t>
            </w:r>
            <w:r w:rsidRPr="00B04A00">
              <w:t xml:space="preserve"> кладки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4,9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</w:tr>
      <w:tr w:rsidR="00816C91" w:rsidTr="004914A1">
        <w:tc>
          <w:tcPr>
            <w:tcW w:w="959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  <w:outlineLvl w:val="2"/>
            </w:pPr>
            <w:bookmarkStart w:id="17" w:name="_Toc77281843"/>
            <w:r w:rsidRPr="00B04A00">
              <w:t>9</w:t>
            </w:r>
            <w:bookmarkEnd w:id="17"/>
          </w:p>
        </w:tc>
        <w:tc>
          <w:tcPr>
            <w:tcW w:w="3826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Устройство защитных козырьков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100 м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  <w:tc>
          <w:tcPr>
            <w:tcW w:w="2393" w:type="dxa"/>
          </w:tcPr>
          <w:p w:rsidR="00816C91" w:rsidRPr="00B04A00" w:rsidRDefault="00816C91" w:rsidP="004914A1">
            <w:pPr>
              <w:pStyle w:val="Default"/>
              <w:contextualSpacing/>
              <w:jc w:val="center"/>
            </w:pPr>
            <w:r w:rsidRPr="00B04A00">
              <w:t xml:space="preserve">0,52 </w:t>
            </w:r>
          </w:p>
          <w:p w:rsidR="00816C91" w:rsidRPr="00B04A00" w:rsidRDefault="00816C91" w:rsidP="004914A1">
            <w:pPr>
              <w:pStyle w:val="Default"/>
              <w:contextualSpacing/>
              <w:jc w:val="center"/>
            </w:pPr>
          </w:p>
        </w:tc>
      </w:tr>
    </w:tbl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outlineLvl w:val="2"/>
        <w:rPr>
          <w:b/>
          <w:sz w:val="28"/>
          <w:szCs w:val="28"/>
        </w:rPr>
      </w:pPr>
    </w:p>
    <w:p w:rsidR="00816C91" w:rsidRDefault="00816C91" w:rsidP="00816C91">
      <w:pPr>
        <w:pStyle w:val="Default"/>
        <w:spacing w:line="360" w:lineRule="auto"/>
        <w:ind w:firstLine="709"/>
        <w:contextualSpacing/>
        <w:jc w:val="center"/>
        <w:outlineLvl w:val="2"/>
        <w:rPr>
          <w:b/>
          <w:sz w:val="28"/>
          <w:szCs w:val="28"/>
        </w:rPr>
      </w:pPr>
      <w:bookmarkStart w:id="18" w:name="_Toc77281844"/>
      <w:r w:rsidRPr="00B04A00">
        <w:rPr>
          <w:b/>
          <w:sz w:val="28"/>
          <w:szCs w:val="28"/>
        </w:rPr>
        <w:t>3.4.5 Требования к качеству и приемке работ</w:t>
      </w:r>
      <w:bookmarkEnd w:id="18"/>
    </w:p>
    <w:p w:rsidR="00816C91" w:rsidRPr="00B04A0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Работы по возведению каменных конструкций следует осуществлять в</w:t>
      </w:r>
      <w:r>
        <w:rPr>
          <w:sz w:val="28"/>
          <w:szCs w:val="28"/>
        </w:rPr>
        <w:t xml:space="preserve"> </w:t>
      </w:r>
      <w:r w:rsidRPr="00B04A00">
        <w:rPr>
          <w:sz w:val="28"/>
          <w:szCs w:val="28"/>
        </w:rPr>
        <w:t>соответствии с технической документацией:</w:t>
      </w:r>
    </w:p>
    <w:p w:rsidR="00816C91" w:rsidRPr="00B04A0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- указания по виду материалов, применяемых для кладки, их проектные</w:t>
      </w:r>
      <w:r>
        <w:rPr>
          <w:sz w:val="28"/>
          <w:szCs w:val="28"/>
        </w:rPr>
        <w:t xml:space="preserve"> </w:t>
      </w:r>
      <w:r w:rsidRPr="00B04A00">
        <w:rPr>
          <w:sz w:val="28"/>
          <w:szCs w:val="28"/>
        </w:rPr>
        <w:t>марки по прочности и морозостойкости;</w:t>
      </w:r>
    </w:p>
    <w:p w:rsidR="00816C91" w:rsidRPr="00B04A0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- марки растворов для производства работ;</w:t>
      </w:r>
    </w:p>
    <w:p w:rsidR="00816C91" w:rsidRPr="00B04A0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- способ кладки и мероприятия, обеспечивающие прочность и</w:t>
      </w:r>
      <w:r>
        <w:rPr>
          <w:sz w:val="28"/>
          <w:szCs w:val="28"/>
        </w:rPr>
        <w:t xml:space="preserve"> </w:t>
      </w:r>
      <w:r w:rsidRPr="00B04A00">
        <w:rPr>
          <w:sz w:val="28"/>
          <w:szCs w:val="28"/>
        </w:rPr>
        <w:t>устойчивость конструкций в стадии возведения.</w:t>
      </w:r>
    </w:p>
    <w:p w:rsidR="00816C91" w:rsidRPr="00B04A0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Технические критерии и средства контроля операций и процессов приводятся</w:t>
      </w:r>
      <w:r>
        <w:rPr>
          <w:sz w:val="28"/>
          <w:szCs w:val="28"/>
        </w:rPr>
        <w:t xml:space="preserve"> </w:t>
      </w:r>
      <w:r w:rsidRPr="00B04A00">
        <w:rPr>
          <w:sz w:val="28"/>
          <w:szCs w:val="28"/>
        </w:rPr>
        <w:t>в графической части технологической карты.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04A00">
        <w:rPr>
          <w:sz w:val="28"/>
          <w:szCs w:val="28"/>
        </w:rPr>
        <w:t>Приемочный контроль осуществляют согласно СНиП 3.03.01 – 87 «Несущие</w:t>
      </w:r>
      <w:r>
        <w:rPr>
          <w:sz w:val="28"/>
          <w:szCs w:val="28"/>
        </w:rPr>
        <w:t xml:space="preserve"> </w:t>
      </w:r>
      <w:r w:rsidRPr="00B04A00">
        <w:rPr>
          <w:sz w:val="28"/>
          <w:szCs w:val="28"/>
        </w:rPr>
        <w:t>и ограждающие конструкции».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center"/>
        <w:outlineLvl w:val="2"/>
        <w:rPr>
          <w:b/>
          <w:sz w:val="28"/>
          <w:szCs w:val="28"/>
        </w:rPr>
      </w:pPr>
      <w:bookmarkStart w:id="19" w:name="_Toc77281845"/>
      <w:r w:rsidRPr="009178A0">
        <w:rPr>
          <w:b/>
          <w:sz w:val="28"/>
          <w:szCs w:val="28"/>
        </w:rPr>
        <w:t>3.4.6 Техника безопасности и охрана труда</w:t>
      </w:r>
      <w:bookmarkEnd w:id="19"/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 xml:space="preserve">1. При производстве работ руководствуются СНиП 3.03.01 – 87, СНиП </w:t>
      </w:r>
    </w:p>
    <w:p w:rsidR="00816C91" w:rsidRPr="009178A0" w:rsidRDefault="00816C91" w:rsidP="00816C91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- 4 – 80*.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2. Все лица, находящиеся на строительной площадке, обязаны носить</w:t>
      </w:r>
    </w:p>
    <w:p w:rsidR="00816C91" w:rsidRPr="009178A0" w:rsidRDefault="00816C91" w:rsidP="00816C91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защитные каски по ГОСТ 12.4.087 – 84. Рабочие и ИТР без защитных касок и</w:t>
      </w:r>
    </w:p>
    <w:p w:rsidR="00816C91" w:rsidRPr="009178A0" w:rsidRDefault="00816C91" w:rsidP="00816C91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других средств индивидуальной защиты к выполнению работ не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допускаются.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3. Применяемые при производстве строительно – монтажных работ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машины, оборудование и технологическая оснастка должна быть в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lastRenderedPageBreak/>
        <w:t>исправном состоянии и по всем техническим характеристикам должны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соответствовать условиям безопасного выполнения работ.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4. Кирпичную кладку каменщик должен выполнять с перекрытий и инвентарных подмостей. Не допускается кладка стен толщиной до 0,75 м в положении стоя на стене. При толщине кладки более 0,75 м разрешается производить кладку со стены, применяя предохранительный пояс, закрепленный за специальное страховочное устройство.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5. Подмости нельзя перегружать материалами сверх установленной для данной конструкции расчетной нагрузки, следует избегать скопления материалов в одном месте. Материалы укладываются так, чтобы они не мешали проходу рабочих и транспортированию материалов. Ширина проходов к рабочим местам и на рабочих местах должна быть не менее 0,6 м, а высота проходов в свету – не менее 1,8 м.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6. Подъем и перемещение кирпича и сопутствующих материалов следует производить на поддонах, контейнерах, исключающих их выпадение.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7. Одновременно с кладкой наружных стен следует устанавливать оконные блоки. Если они не устанавливаются, то проемы необходимо закреплять инвентарными ограждениями. Проемы в перекрытиях, к которым возможен доступ людей, должны быть закрыты сплошным настилом или иметь ограждения. Проемы в стенах при одностороннем примыкании к ним настила (перекрытия) должны ограждаться, если расстояние от уровня настила до низа проема меньше 0,7 м.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8. Строительный мусор строящегося здания и лесов следует опускать по закрытым желобам, в закрытых ящиках или контейнерах. Нижняя часть желоба должна находиться не выше 1 м над землей или входить в бункер. Сбрасывать мусор без желобов или других приспособлений разрешается с высоты не более 3 м. места, на которые сбрасывается мусор, следует со всех сторон оградить или установить надзор для предупреждения об опасности.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 xml:space="preserve">9. Рабочие места должны систематически очищаться от мусора, боя кирпича и остатков материалов. Щиты настила подмостей должны быть </w:t>
      </w:r>
      <w:r w:rsidRPr="009178A0">
        <w:rPr>
          <w:sz w:val="28"/>
          <w:szCs w:val="28"/>
        </w:rPr>
        <w:lastRenderedPageBreak/>
        <w:t>хорошо пригнаны и не иметь щелей более 10 мм. Концы досок настила должны располагаться по стремянке или по лестницам. Стремянки должны иметь перила высотой не ниже 1 м и бортовые доски высотой не менее 15 см.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10. При кладке стен высотой более 7 м необходимо по периметру здания устанавливать защитные козырьки, удовлетворяющие следующим требованиям: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ширина защитных козырьков должна быть не менее 1,5 м, а зазор между стеной здания и настилом козырька не превышал 50 мм.;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они должны быть установлены с уклоном к стене так, чтобы угол, образуемый между нижней частью стены здания и поверхностью козырька, был 1100;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первый ряд защитных козырьков должен иметь сплошной настил на высоте 6 м от земли и сохраняется до полного окончания кладки стен, второй и последующие ряды изготавливаются сплошными или из сетчатых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материалов с ячейкой не более 50х50 мм и устанавливаются через каждые 6 – 7 м;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защитные козырьки должны выдерживать равномерно – распределительную снеговую нагрузку не менее 1500 Н и сосредоточенную нагрузку не менее 1600 Н (160 кгс), приложенную в середине пролета;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рабочие, занятые на установке, очистке или снятии защитных козырьков, должны работать с предохранительными поясами . ходить по козырькам, использовать их в качестве подмостей, складывать на них материалы, не допускается.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center"/>
        <w:outlineLvl w:val="1"/>
        <w:rPr>
          <w:b/>
          <w:sz w:val="28"/>
          <w:szCs w:val="28"/>
        </w:rPr>
      </w:pPr>
      <w:bookmarkStart w:id="20" w:name="_Toc77281846"/>
      <w:r w:rsidRPr="009178A0">
        <w:rPr>
          <w:b/>
          <w:sz w:val="28"/>
          <w:szCs w:val="28"/>
        </w:rPr>
        <w:t>3.5. Объектный строительный генеральный план</w:t>
      </w:r>
      <w:bookmarkEnd w:id="20"/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center"/>
        <w:outlineLvl w:val="1"/>
        <w:rPr>
          <w:b/>
          <w:sz w:val="28"/>
          <w:szCs w:val="28"/>
        </w:rPr>
      </w:pP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СГП, являясь важнейшим и обязательным документом, завершает разработку ППР и содержит все основные решения по организации, планированию и управлению строительством, способствующие выполнению строительства в сроки, принятые в календарном плане.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lastRenderedPageBreak/>
        <w:t>Стройгенпланом (СГП) называют генеральный план площадки, на котором показано расстановка основных монтажных и грузоподъёмных механизмов, временных зданий, сооружений и установок, возводимых и используемых в период строительства.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СГП предназначен для определения состава и размещения объектов строительного хозяйства в целях максимальной эффективности их использования и с учётом соблюдения требований охраны труда.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Общие принципы проектирования: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СГП является частью комплексной документации на строительство, и его решения должны быть увязаны с остальными разделами проекта, в том числе с принятой технологией работ и сроками строительства, установленными графиками; решения СГП должны отвечать требованиям строительных нормативов; временные здания, сооружения и установки (кроме мобильных) располагают на территориях, не предназначенных под застройку до конца строительства; решения СГП должны обеспечивать рациональное прохождение грузопотоков на площадке путём сокращения числа перегрузок и уменьшения расстояний перевозок.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Правильное размещение монтажных механизмов, установок для производства бетонов и растворов, складов, площадок укрупнительной сборки – основное условие решения этой задачи; СГП должен обеспечивать наиболее полное удовлетворение бытовых нужд работающих на строительстве (это требование реализуется путём продуманного подбора и размещения бытовых помещений, устройств и пешеходных путей); принятые в СГП решения должны отвечать требованиям техники безопасности, пожарной безопасности и условиям охраны окружающей среды; затраты на временное строительство должны быть минимальными. Сокращение их достигается использованием постоянных объектов, уменьшением объёма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временных зданий, сооружений и устройств с использованием инвентарных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решений.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Характеристика стройгенплана.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lastRenderedPageBreak/>
        <w:t>Строительный генеральный план является документом уточняющим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принятые в ПОС решения с учетом привязки их к строящемуся объекту.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На стройгенплане обозначаются: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пути движения монтажного крана;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опасная и монтажная зоны работы крана;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возводимое здание;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временные и существующие здания и сооружения;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складские помещения;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временные и постоянные теплосети;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сети водопровода;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канализация;</w:t>
      </w:r>
    </w:p>
    <w:p w:rsidR="00816C91" w:rsidRPr="009178A0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- линии электропередач.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78A0">
        <w:rPr>
          <w:sz w:val="28"/>
          <w:szCs w:val="28"/>
        </w:rPr>
        <w:t>При расчете стройгенплана производится расчет временных зданий и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сооружений, расчет складов, потребность в воде, потребность в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электроэнергии. По запроектированному стройгенплану приводятся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экспликации зданий и сооружений, ТЭП, а также даются условные</w:t>
      </w:r>
      <w:r>
        <w:rPr>
          <w:sz w:val="28"/>
          <w:szCs w:val="28"/>
        </w:rPr>
        <w:t xml:space="preserve"> </w:t>
      </w:r>
      <w:r w:rsidRPr="009178A0">
        <w:rPr>
          <w:sz w:val="28"/>
          <w:szCs w:val="28"/>
        </w:rPr>
        <w:t>обозначения стройгенплана</w:t>
      </w:r>
      <w:r>
        <w:rPr>
          <w:sz w:val="28"/>
          <w:szCs w:val="28"/>
        </w:rPr>
        <w:t>.</w:t>
      </w:r>
    </w:p>
    <w:p w:rsidR="00816C91" w:rsidRDefault="00816C91" w:rsidP="00816C91">
      <w:pPr>
        <w:pStyle w:val="Default"/>
        <w:spacing w:line="360" w:lineRule="auto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B72" w:rsidRDefault="00816C91">
      <w:bookmarkStart w:id="21" w:name="_GoBack"/>
      <w:bookmarkEnd w:id="21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8F"/>
    <w:rsid w:val="00115587"/>
    <w:rsid w:val="001B7030"/>
    <w:rsid w:val="00816C91"/>
    <w:rsid w:val="00E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91"/>
  </w:style>
  <w:style w:type="paragraph" w:styleId="1">
    <w:name w:val="heading 1"/>
    <w:basedOn w:val="a"/>
    <w:next w:val="a"/>
    <w:link w:val="10"/>
    <w:uiPriority w:val="9"/>
    <w:qFormat/>
    <w:rsid w:val="0081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6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1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91"/>
  </w:style>
  <w:style w:type="paragraph" w:styleId="1">
    <w:name w:val="heading 1"/>
    <w:basedOn w:val="a"/>
    <w:next w:val="a"/>
    <w:link w:val="10"/>
    <w:uiPriority w:val="9"/>
    <w:qFormat/>
    <w:rsid w:val="0081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6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1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2641</Words>
  <Characters>15060</Characters>
  <Application>Microsoft Office Word</Application>
  <DocSecurity>0</DocSecurity>
  <Lines>125</Lines>
  <Paragraphs>35</Paragraphs>
  <ScaleCrop>false</ScaleCrop>
  <Company/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2021-08-10T11:03:00Z</dcterms:created>
  <dcterms:modified xsi:type="dcterms:W3CDTF">2021-08-10T11:03:00Z</dcterms:modified>
</cp:coreProperties>
</file>